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Criteria for 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response to a petition completed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531—5.6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(17A), the board may in its sole discretion issue an order waiving in whole or in part the requirements of a rule if the board finds, based on clear and convincing evidence, all of the following: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of the rule would impose an undue hardship on the person for whom the waiver is requested;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waiver from the requirements of the rule in the specific case would not prejudice the substantial legal rights of any person;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provisions of the rule subject to the petition for a waiver are not specifically mandated by statute or another provision of law; and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Substantially equivalent protection of public health, safety and welfare will be afforded by a means other than that prescribed in the particular rule for which the waiver is requested.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31.5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