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531—4.14</w:t>
      </w:r>
      <w:r>
        <w:rPr>
          <w:rFonts w:ascii="Times New Roman" w:hAnsi="Times New Roman"/>
          <w:b/>
          <w:i w:val="false"/>
          <w:color w:val="000000"/>
          <w:sz w:val="22"/>
        </w:rPr>
        <w:t xml:space="preserve">(99G)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hearing, the board issues an order finding any of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person who was the subject of the waiver order withheld or misrepresented material facts relevant to the propriety or desirability of the waiver; or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substantially equivalent means for ensuring that the public health, safety and welfare will be adequately protected after issuance of the waiver order have been demonstrated to be insufficient; or </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