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531—4.13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Submission of waiver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Within 60 days of granting or denying a waiver, the board shall make a submission on the Internet site established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the submission of waiver information identifying the rules for which a waiver has been granted or denied, the number of times a waiver was granted or denied for each rule, a citation to the statutory provisions implemented by the rules, and a general summary of the reasons justifying the board’s actions on waiver requests. If practicable, the report shall detail the extent to which the granting of a waiver has established a precedent for additional waivers and the extent to which the granting of a waiver has affected the general applicability of the rule itself. 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5991C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9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