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531—4.10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Hearing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provisions of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17A.10 to 17A.18A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regarding contested case hearings shall apply to any petition for a waiver filed within a contested case and shall otherwise apply to agency proceedings for a waiver only when the board so provides by rule or order or is required to do so by statute.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10-18A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