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lottery shall not adopt a rule until the period for making written submissions and oral presentations has expired. Within 180 days after the later of the publication of the Notice of Intended Action, or the end of oral proceedings thereon, the lottery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lottery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lottery may use its own experience, technical competence, specialized knowledge, and judgment in the adoption of a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