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Fiscal impact statement.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proposed rule that mandates additional combined expenditures exceeding $100,000 by all affected political subdivisions or agencies and entities which contract with political subdivisions to provide services must be accompanied by a fiscal impact statement outlining the costs associated with the rule. A fiscal impact statement must satisfy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lottery determines at the time it adopts a rule that the fiscal impact statement upon which the rule is based contains errors, the lottery shall, at the same time, issue a corrected fiscal impact statement and publish the corrected fiscal impact statement in the Iowa Administrative Bulletin.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B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