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531—3.4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At least 35 days before the adoption of a rule the lottery shall cause Notice of Intended Action to be published in the Iowa Administrative Bulletin. The Notice of Intended 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explanation of the purpose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legal authority for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to the extent impracticable, the text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present their views on the proposed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demand an oral proceeding on the proposed rule if the notice does not already provide for one.</w:t>
      </w:r>
    </w:p>
    <w:p>
      <w:pPr>
        <w:spacing w:before="0" w:after="0"/>
        <w:ind w:left="120"/>
        <w:jc w:val="both"/>
      </w:pPr>
      <w:r>
        <w:rPr>
          <w:rFonts w:ascii="Times New Roman" w:hAnsi="Times New Roman"/>
          <w:b w:val="false"/>
          <w:i w:val="false"/>
          <w:color w:val="000000"/>
          <w:sz w:val="22"/>
        </w:rPr>
        <w:t>Where inclusion of the complete text of a proposed rule in the Notice of Intended Action is impracticable, the lottery shall include in the notice a statement fully describing the specific subject matter of the omitted portion of the text of the proposed rule, the specific issues to be addressed by that omitted text of the proposed rule, and the range of possible choices being considered by the lottery for the resolution of each of those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 xml:space="preserve">A proposed rule may incorporate other materials by reference only if it complies with all of the requirements applicable to the incorporation by reference of other materials in an adopted rule that are contained in subrule </w:t>
      </w:r>
      <w:hyperlink r:id="rId4">
        <w:r>
          <w:rPr>
            <w:rStyle w:val="Hyperlink"/>
            <w:rFonts w:ascii="Times New Roman" w:hAnsi="Times New Roman"/>
            <w:b w:val="false"/>
            <w:i w:val="false"/>
            <w:color w:val="000000"/>
            <w:sz w:val="22"/>
          </w:rPr>
          <w:t>3.12(2)</w:t>
        </w:r>
      </w:hyperlink>
      <w:r>
        <w:rPr>
          <w:rFonts w:ascii="Times New Roman" w:hAnsi="Times New Roman"/>
          <w:b w:val="false"/>
          <w:i w:val="false"/>
          <w:color w:val="000000"/>
          <w:sz w:val="22"/>
        </w:rPr>
        <w:t xml:space="preserve">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w:t>
      </w:r>
      <w:r>
        <w:rPr>
          <w:rFonts w:ascii="Times New Roman" w:hAnsi="Times New Roman"/>
          <w:b w:val="false"/>
          <w:i w:val="false"/>
          <w:color w:val="000000"/>
          <w:sz w:val="22"/>
        </w:rPr>
        <w:t> </w:t>
      </w:r>
      <w:r>
        <w:rPr>
          <w:rFonts w:ascii="Times New Roman" w:hAnsi="Times New Roman"/>
          <w:b w:val="false"/>
          <w:i/>
          <w:color w:val="000000"/>
          <w:sz w:val="22"/>
        </w:rPr>
        <w:t xml:space="preserve">Copies of notices. </w:t>
      </w:r>
      <w:r>
        <w:rPr>
          <w:rFonts w:ascii="Times New Roman" w:hAnsi="Times New Roman"/>
          <w:b w:val="false"/>
          <w:i w:val="false"/>
          <w:color w:val="000000"/>
          <w:sz w:val="22"/>
        </w:rPr>
        <w:t>Persons desiring to receive copies of future Notices of Intended Action by subscription must file with the lottery a written request indicating the name and address to which such notices should be sent. Within seven days after submission of a Notice of Intended Action to the administrative rules coordinator for publication in the Iowa Administrative Bulletin, the lottery shall mail or electronically transmit a copy of that notice to subscribers who have filed a written request for either mailing or electronic transmittal with the lottery for Notices of Intended Action. The written request shall be accompanied by payment of the subscription price which may cover the full cost of the subscription service, including its administrative overhead and the cost of copying and mailing the Notices of Intended Action for a period of six months.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31.3.12.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