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lottery may, before publication of a Notice of Intended Action under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lottery by causing notice to be published in the Iowa Administrative Bulletin of the subject matter and indicating where, when, and how persons may comment.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