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531—3.17</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by agency of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3.17(1)</w:t>
      </w:r>
      <w:r>
        <w:rPr>
          <w:rFonts w:ascii="Times New Roman" w:hAnsi="Times New Roman"/>
          <w:b w:val="false"/>
          <w:i w:val="false"/>
          <w:color w:val="000000"/>
          <w:sz w:val="22"/>
        </w:rPr>
        <w:t> </w:t>
      </w:r>
      <w:r>
        <w:rPr>
          <w:rFonts w:ascii="Times New Roman" w:hAnsi="Times New Roman"/>
          <w:b w:val="false"/>
          <w:i w:val="false"/>
          <w:color w:val="000000"/>
          <w:sz w:val="22"/>
        </w:rPr>
        <w:t>Any interested person, association, agency, or political subdivision may submit a written request to the administrative rules coordinator requesting the lottery to conduct a formal review of a specified rule. Upon approval of that request by the administrative rules coordinator, the lottery shall conduct a formal review of a specified rule to determine whether a new rule should be adopted instead or the rule should be amended or repealed. The lottery may refuse to conduct a review if it has conducted such a review of the specified rule within five years prior to the filing of the written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3.17(2)</w:t>
      </w:r>
      <w:r>
        <w:rPr>
          <w:rFonts w:ascii="Times New Roman" w:hAnsi="Times New Roman"/>
          <w:b w:val="false"/>
          <w:i w:val="false"/>
          <w:color w:val="000000"/>
          <w:sz w:val="22"/>
        </w:rPr>
        <w:t> </w:t>
      </w:r>
      <w:r>
        <w:rPr>
          <w:rFonts w:ascii="Times New Roman" w:hAnsi="Times New Roman"/>
          <w:b w:val="false"/>
          <w:i w:val="false"/>
          <w:color w:val="000000"/>
          <w:sz w:val="22"/>
        </w:rPr>
        <w:t>In conducting the formal review, the lottery shall prepare within a reasonable time a written report summarizing its findings, its supporting reasons, and any proposed course of action. The report must include a concise statement of the lottery’s findings regarding the rule’s effectiveness in achieving its objectives, including a summary of any available supporting data. The report shall also concisely describe significant written criticisms of the rule received during the previous five years, including a summary of any petitions for waiver of the rule received by the lottery or granted by the lottery. The report shall describe alternative solutions to resolve the criticisms of the rule, the reasons any were rejected, and any changes made in the rule in response to the criticisms as well as the reasons for the changes. A copy of the lottery’s report shall be sent to the administrative rules review committee and the administrative rules coordinator. The report must also be available for public inspection.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