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lottery shall maintain an official, current, and dated compilation that is indexed by subject, containing all of its general statements of policy within the scope of Iowa Code section </w:t>
      </w:r>
      <w:hyperlink r:id="rId4">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5">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rule shall not be relied on by the lottery to the detriment of any person who does not have actual, timely knowledge of the contents of the statement until the requirements of subrule </w:t>
      </w:r>
      <w:hyperlink r:id="rId6">
        <w:r>
          <w:rPr>
            <w:rStyle w:val="Hyperlink"/>
            <w:rFonts w:ascii="Times New Roman" w:hAnsi="Times New Roman"/>
            <w:b w:val="false"/>
            <w:i w:val="false"/>
            <w:color w:val="000000"/>
            <w:sz w:val="22"/>
          </w:rPr>
          <w:t>3.16(1)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2.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rule/531.3.1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