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lottery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lottery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agency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lottery’s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lottery, and all other written materials of a factual nature as distinguished from opinion that are relevant to the merits of the rule and that were created or compiled by the lottery and considered by the chief executive officer of the lottery, in connection with the formulation, proposal, or adoption of the rule or the proceeding upon which the rule is based, except to the extent the lottery is authorized by law to keep them confidential; provided, however, that when any such materials are deleted because they are authorized by law to be kept confidential, the lottery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amendments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4">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5">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agency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lottery rule-making record required by this rule need not constitute the exclusive basis for agency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lottery shall maintain the rule-making record for a period of not less than five years from the later of the date the rule to which it pertains became effective or the date of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will maintain a separate file of any written criticism received regarding any of its rules for a period of not less than five years from the date the first written criticism for a rule was received as described in </w:t>
      </w:r>
      <w:hyperlink r:id="rId6">
        <w:r>
          <w:rPr>
            <w:rStyle w:val="Hyperlink"/>
            <w:rFonts w:ascii="Times New Roman" w:hAnsi="Times New Roman"/>
            <w:b w:val="false"/>
            <w:i w:val="false"/>
            <w:color w:val="000000"/>
            <w:sz w:val="22"/>
          </w:rPr>
          <w:t>3.13(2)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ac/rule/531.3.1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