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lottery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lottery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lottery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lottery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lottery may incorporate by reference in a proposed or adopted rule, and without causing publication of the incorporated matter in full, all or any part of a code, standard, rule, or other matter if the lottery authority board finds that the incorporation of its text in the lottery’s proposed or adopted rule would be unduly cumbersome, expensive, or otherwise inexpedient. The reference in the lottery’s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lottery may incorporate such matter by reference in a proposed or adopted rule only if the lottery makes copies of it readily available to the public. The rule shall state how and where copies of the incorporated matter may be obtained at cost from the lottery, and how and where copies may be obtained from an agency of the United States, this state, another state, or the organization, association, or persons originally issuing that matter. The lottery shall retain permanently a copy of any materials incorporated by reference in a rule of the lottery.</w:t>
      </w:r>
    </w:p>
    <w:p>
      <w:pPr>
        <w:spacing w:before="0" w:after="0"/>
        <w:ind w:left="120"/>
        <w:jc w:val="both"/>
      </w:pPr>
      <w:r>
        <w:rPr>
          <w:rFonts w:ascii="Times New Roman" w:hAnsi="Times New Roman"/>
          <w:b w:val="false"/>
          <w:i w:val="false"/>
          <w:color w:val="000000"/>
          <w:sz w:val="22"/>
        </w:rPr>
        <w:t>If the lottery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lottery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lottery. The lottery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lottery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lottery shall follow the uniform numbering system, form, and style prescribed by the administrative rules coordinator.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