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531—3.11</w:t>
      </w:r>
      <w:r>
        <w:rPr>
          <w:rFonts w:ascii="Times New Roman" w:hAnsi="Times New Roman"/>
          <w:b/>
          <w:i w:val="false"/>
          <w:color w:val="000000"/>
          <w:sz w:val="22"/>
        </w:rPr>
        <w:t xml:space="preserve">(17A) </w:t>
      </w:r>
      <w:r>
        <w:rPr>
          <w:rFonts w:ascii="Times New Roman" w:hAnsi="Times New Roman"/>
          <w:b/>
          <w:i w:val="false"/>
          <w:color w:val="000000"/>
          <w:sz w:val="22"/>
        </w:rPr>
        <w:t xml:space="preserve">Concise statement of reasons.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When requested by a person, either prior to the adoption of a rule or within 30 days after its publication in the Iowa Administrative Bulletin as an adopted rule, the lottery shall issue a concise statement of reasons for the rule. Requests for such a statement must be in writing and be delivered to the Iowa Lottery Authority, 13001 University Avenue, Clive, Iowa 50325-8225. The request should indicate whether the statement is sought for all or only a specified part of the rule. Requests will be considered made on the date received.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3.11(2)</w:t>
      </w:r>
      <w:r>
        <w:rPr>
          <w:rFonts w:ascii="Times New Roman" w:hAnsi="Times New Roman"/>
          <w:b w:val="false"/>
          <w:i w:val="false"/>
          <w:color w:val="000000"/>
          <w:sz w:val="22"/>
        </w:rPr>
        <w:t> </w:t>
      </w:r>
      <w:r>
        <w:rPr>
          <w:rFonts w:ascii="Times New Roman" w:hAnsi="Times New Roman"/>
          <w:b w:val="false"/>
          <w:i/>
          <w:color w:val="000000"/>
          <w:sz w:val="22"/>
        </w:rPr>
        <w:t xml:space="preserve">Contents. </w:t>
      </w:r>
      <w:r>
        <w:rPr>
          <w:rFonts w:ascii="Times New Roman" w:hAnsi="Times New Roman"/>
          <w:b w:val="false"/>
          <w:i w:val="false"/>
          <w:color w:val="000000"/>
          <w:sz w:val="22"/>
        </w:rPr>
        <w:t>The concise statement of reasons shall contain: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reasons for adopting the 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indication of any change between the text of the proposed rule contained in the published Notice of Intended Action and the text of the rule as finally adopted, with the reasons for any such change;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principal reasons urged in the rule-making proceeding for and against the rule, and the lottery’s reasons for overruling the arguments made against the rule.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3.11(3)</w:t>
      </w:r>
      <w:r>
        <w:rPr>
          <w:rFonts w:ascii="Times New Roman" w:hAnsi="Times New Roman"/>
          <w:b w:val="false"/>
          <w:i w:val="false"/>
          <w:color w:val="000000"/>
          <w:sz w:val="22"/>
        </w:rPr>
        <w:t> </w:t>
      </w:r>
      <w:r>
        <w:rPr>
          <w:rFonts w:ascii="Times New Roman" w:hAnsi="Times New Roman"/>
          <w:b w:val="false"/>
          <w:i/>
          <w:color w:val="000000"/>
          <w:sz w:val="22"/>
        </w:rPr>
        <w:t xml:space="preserve">Time of issuance. </w:t>
      </w:r>
      <w:r>
        <w:rPr>
          <w:rFonts w:ascii="Times New Roman" w:hAnsi="Times New Roman"/>
          <w:b w:val="false"/>
          <w:i w:val="false"/>
          <w:color w:val="000000"/>
          <w:sz w:val="22"/>
        </w:rPr>
        <w:t>After a proper request, the lottery shall issue a concise statement of reasons by the later of the time the rule is adopted or 35 days after receipt of the request.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1954C</w:t>
      </w:r>
      <w:r>
        <w:rPr>
          <w:rFonts w:ascii="Times New Roman" w:hAnsi="Times New Roman"/>
          <w:b w:val="false"/>
          <w:i w:val="false"/>
          <w:color w:val="000000"/>
          <w:sz w:val="16"/>
        </w:rPr>
        <w:t>, IAB 4/15/15, effective 5/20/15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