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531—21.9</w:t>
      </w:r>
      <w:r>
        <w:rPr>
          <w:rFonts w:ascii="Times New Roman" w:hAnsi="Times New Roman"/>
          <w:b/>
          <w:i w:val="false"/>
          <w:color w:val="000000"/>
          <w:sz w:val="22"/>
        </w:rPr>
        <w:t xml:space="preserve">(99G) </w:t>
      </w:r>
      <w:r>
        <w:rPr>
          <w:rFonts w:ascii="Times New Roman" w:hAnsi="Times New Roman"/>
          <w:b/>
          <w:i w:val="false"/>
          <w:color w:val="000000"/>
          <w:sz w:val="22"/>
        </w:rPr>
        <w:t xml:space="preserve">Owner of a ticket. </w:t>
      </w:r>
      <w:r>
        <w:rPr>
          <w:rFonts w:ascii="Times New Roman" w:hAnsi="Times New Roman"/>
          <w:b w:val="false"/>
          <w:i w:val="false"/>
          <w:color w:val="000000"/>
          <w:sz w:val="22"/>
        </w:rPr>
        <w:t>The lottery and its VIP club vendor, if any, shall pay prizes in an Internet-based drawing or contest only to persons who present the selected tickets by entering them into the drawing through the online entry form or other entry mechanism. Players are encouraged to sign the original ticket to prevent entry of the ticket by another party into the drawings or contests. The signature on the ticket indicates the owner of the ticket. If no signature is present on the ticket, the owner of the ticket is the possessor of the ticket. If there is a question as to the ownership of a ticket, the chief executive officer’s determination as to whether and to whom a prize shall be awarded is final.</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