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531—21.8</w:t>
      </w:r>
      <w:r>
        <w:rPr>
          <w:rFonts w:ascii="Times New Roman" w:hAnsi="Times New Roman"/>
          <w:b/>
          <w:i w:val="false"/>
          <w:color w:val="000000"/>
          <w:sz w:val="22"/>
        </w:rPr>
        <w:t xml:space="preserve">(99G) </w:t>
      </w:r>
      <w:r>
        <w:rPr>
          <w:rFonts w:ascii="Times New Roman" w:hAnsi="Times New Roman"/>
          <w:b/>
          <w:i w:val="false"/>
          <w:color w:val="000000"/>
          <w:sz w:val="22"/>
        </w:rPr>
        <w:t xml:space="preserve">Entry validation requirements. </w:t>
      </w:r>
      <w:r>
        <w:rPr>
          <w:rFonts w:ascii="Times New Roman" w:hAnsi="Times New Roman"/>
          <w:b w:val="false"/>
          <w:i w:val="false"/>
          <w:color w:val="000000"/>
          <w:sz w:val="22"/>
        </w:rPr>
        <w:t>To be a valid entry, the entry must be a legally acquired nonwinning Iowa lottery ticket identified as an entry for the particular promotion. At its discretion, the lottery may include legally obtained winning and nonwinning Iowa lottery online tickets in promotions.</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9611B</w:t>
      </w:r>
      <w:r>
        <w:rPr>
          <w:rFonts w:ascii="Times New Roman" w:hAnsi="Times New Roman"/>
          <w:b w:val="false"/>
          <w:i w:val="false"/>
          <w:color w:val="000000"/>
          <w:sz w:val="16"/>
        </w:rPr>
        <w:t>, IAB 7/13/11, effective 6/22/11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99G.21.pdf" Type="http://schemas.openxmlformats.org/officeDocument/2006/relationships/hyperlink" Id="rId5"/>
    <Relationship TargetMode="External" Target="https://www.legis.iowa.gov/docs/ico/chapter/99G.3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