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531—21.5</w:t>
      </w:r>
      <w:r>
        <w:rPr>
          <w:rFonts w:ascii="Times New Roman" w:hAnsi="Times New Roman"/>
          <w:b/>
          <w:i w:val="false"/>
          <w:color w:val="000000"/>
          <w:sz w:val="22"/>
        </w:rPr>
        <w:t xml:space="preserve">(99G) </w:t>
      </w:r>
      <w:r>
        <w:rPr>
          <w:rFonts w:ascii="Times New Roman" w:hAnsi="Times New Roman"/>
          <w:b/>
          <w:i w:val="false"/>
          <w:color w:val="000000"/>
          <w:sz w:val="22"/>
        </w:rPr>
        <w:t xml:space="preserve">Prizes.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w:t>
      </w:r>
      <w:r>
        <w:rPr>
          <w:rFonts w:ascii="Times New Roman" w:hAnsi="Times New Roman"/>
          <w:b w:val="false"/>
          <w:i w:val="false"/>
          <w:color w:val="000000"/>
          <w:sz w:val="22"/>
        </w:rPr>
        <w:t> </w:t>
      </w:r>
      <w:r>
        <w:rPr>
          <w:rFonts w:ascii="Times New Roman" w:hAnsi="Times New Roman"/>
          <w:b w:val="false"/>
          <w:i w:val="false"/>
          <w:color w:val="000000"/>
          <w:sz w:val="22"/>
        </w:rPr>
        <w:t>The number and amount of prizes for a drawing or contest shall be determined by the lottery and set forth in the specific drawing rules or contest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w:t>
      </w:r>
      <w:r>
        <w:rPr>
          <w:rFonts w:ascii="Times New Roman" w:hAnsi="Times New Roman"/>
          <w:b w:val="false"/>
          <w:i w:val="false"/>
          <w:color w:val="000000"/>
          <w:sz w:val="22"/>
        </w:rPr>
        <w:t> </w:t>
      </w:r>
      <w:r>
        <w:rPr>
          <w:rFonts w:ascii="Times New Roman" w:hAnsi="Times New Roman"/>
          <w:b w:val="false"/>
          <w:i w:val="false"/>
          <w:color w:val="000000"/>
          <w:sz w:val="22"/>
        </w:rPr>
        <w:t>At the lottery’s discretion, a drawing or contest may include a special prize event. The number of prizes, the amount of each prize, the dates and times of the contests or drawings, as well as the procedures for conducting elimination drawings or prize events, shall be determined by the lottery and set forth in the specific drawing rules or contest description. Finalists for prize events shall be selected in the manner stated in the specific drawing rules or contest description.</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9611B</w:t>
      </w:r>
      <w:r>
        <w:rPr>
          <w:rFonts w:ascii="Times New Roman" w:hAnsi="Times New Roman"/>
          <w:b w:val="false"/>
          <w:i w:val="false"/>
          <w:color w:val="000000"/>
          <w:sz w:val="16"/>
        </w:rPr>
        <w:t>, IAB 7/13/11, effective 6/22/11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21.pdf" Type="http://schemas.openxmlformats.org/officeDocument/2006/relationships/hyperlink" Id="rId5"/>
    <Relationship TargetMode="External" Target="https://www.legis.iowa.gov/docs/ico/chapter/99G.3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