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531—21.2</w:t>
      </w:r>
      <w:r>
        <w:rPr>
          <w:rFonts w:ascii="Times New Roman" w:hAnsi="Times New Roman"/>
          <w:b/>
          <w:i w:val="false"/>
          <w:color w:val="000000"/>
          <w:sz w:val="22"/>
        </w:rPr>
        <w:t xml:space="preserve">(99G)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“Contest” </w:t>
      </w:r>
      <w:r>
        <w:rPr>
          <w:rFonts w:ascii="Times New Roman" w:hAnsi="Times New Roman"/>
          <w:b w:val="false"/>
          <w:i w:val="false"/>
          <w:color w:val="000000"/>
          <w:sz w:val="22"/>
        </w:rPr>
        <w:t xml:space="preserve">means a lottery event that may or may not involve nonwinning tickets in which entries are selected as winners and prizes are valued at a total of $5,000 or less. If an individual prize is greater than $600 or at the lottery’s discretion, a player must fill out a claim form and the contest will have written rules informally posted at the event.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“Drawing”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“second-chance drawing” </w:t>
      </w:r>
      <w:r>
        <w:rPr>
          <w:rFonts w:ascii="Times New Roman" w:hAnsi="Times New Roman"/>
          <w:b w:val="false"/>
          <w:i w:val="false"/>
          <w:color w:val="000000"/>
          <w:sz w:val="22"/>
        </w:rPr>
        <w:t>means a lottery event involving a random selection of an entry or entries for prize(s) in which entrants may either use a nonwinning Iowa lottery ticket as an entry or, at the lottery’s discretion, may enter the drawing using points earned from entering tickets through the Internet or an entry through an alternative method for which a purchase is not necessary.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“Nonwinning ticket” </w:t>
      </w:r>
      <w:r>
        <w:rPr>
          <w:rFonts w:ascii="Times New Roman" w:hAnsi="Times New Roman"/>
          <w:b w:val="false"/>
          <w:i w:val="false"/>
          <w:color w:val="000000"/>
          <w:sz w:val="22"/>
        </w:rPr>
        <w:t>means a ticket that did not win in the original game for which it was printed.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“Presentation” </w:t>
      </w:r>
      <w:r>
        <w:rPr>
          <w:rFonts w:ascii="Times New Roman" w:hAnsi="Times New Roman"/>
          <w:b w:val="false"/>
          <w:i w:val="false"/>
          <w:color w:val="000000"/>
          <w:sz w:val="22"/>
        </w:rPr>
        <w:t>of a drawing or contest entry, for purposes of this chapter and validation of the same, means entering the ticket into a drawing or contest through the U.S. mail or Internet, as permitted by the rules of the drawing or the description of the contest.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