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531—20.7</w:t>
      </w:r>
      <w:r>
        <w:rPr>
          <w:rFonts w:ascii="Times New Roman" w:hAnsi="Times New Roman"/>
          <w:b/>
          <w:i w:val="false"/>
          <w:color w:val="000000"/>
          <w:sz w:val="22"/>
        </w:rPr>
        <w:t xml:space="preserve">(99G) </w:t>
      </w:r>
      <w:r>
        <w:rPr>
          <w:rFonts w:ascii="Times New Roman" w:hAnsi="Times New Roman"/>
          <w:b/>
          <w:i w:val="false"/>
          <w:color w:val="000000"/>
          <w:sz w:val="22"/>
        </w:rPr>
        <w:t xml:space="preserve">Unclaimed prizes. </w:t>
      </w:r>
      <w:r>
        <w:rPr>
          <w:rFonts w:ascii="Times New Roman" w:hAnsi="Times New Roman"/>
          <w:b w:val="false"/>
          <w:i w:val="false"/>
          <w:color w:val="000000"/>
          <w:sz w:val="22"/>
        </w:rPr>
        <w:t>Unclaimed jackpot prizes, shares of the jackpot prize, and other lotto prizes do not increase a prize simultaneously won by any other player in the game. Unclaimed jackpot shares shall be added to future jackpot prize pools at times determined by the lottery. Other unclaimed prizes shall be added to future prize pools for any lottery game. This rule shall also apply to such games offered in Iowa, except as may otherwise be provided in the specific game rules of a multistate lottery or other multijurisdictional lottery with which the Iowa lottery may be affiliated.</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