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531—20.6</w:t>
      </w:r>
      <w:r>
        <w:rPr>
          <w:rFonts w:ascii="Times New Roman" w:hAnsi="Times New Roman"/>
          <w:b/>
          <w:i w:val="false"/>
          <w:color w:val="000000"/>
          <w:sz w:val="22"/>
        </w:rPr>
        <w:t xml:space="preserve">(99G) </w:t>
      </w:r>
      <w:r>
        <w:rPr>
          <w:rFonts w:ascii="Times New Roman" w:hAnsi="Times New Roman"/>
          <w:b/>
          <w:i w:val="false"/>
          <w:color w:val="000000"/>
          <w:sz w:val="22"/>
        </w:rPr>
        <w:t xml:space="preserve">Payment of annuity jackpot prizes. </w:t>
      </w:r>
      <w:r>
        <w:rPr>
          <w:rFonts w:ascii="Times New Roman" w:hAnsi="Times New Roman"/>
          <w:b w:val="false"/>
          <w:i w:val="false"/>
          <w:color w:val="000000"/>
          <w:sz w:val="22"/>
        </w:rPr>
        <w:t>The lottery may offer cash prizes, annuitized installment prizes, and prizes with cash or annuity payment options available to the winners. If the jackpot prize or share of the jackpot prize will be paid as an annuity, it will consist of the initial payment followed by such number of yearly installments as may be provided in the specific game rules for the game unless the cash value of the annuity prize attributable to a single play is less than $100,000. If the cash value of the annuity prize attributable to a single play is under $100,000, the lottery may elect to pay the cash value of the prize in one lump-sum prize payment. This rule does not apply to multistate or other multijurisdictional lottery games. Provision for payment of prizes for multistate and other multijurisdictional games shall be outlined in the specific game rules for such games.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