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 and odds.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prizes and the odds of winning shall be set forth in the specific game rules. Specific game rules may allow alternative prize structures.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