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531—20.4</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by a player. </w:t>
      </w:r>
      <w:r>
        <w:rPr>
          <w:rFonts w:ascii="Times New Roman" w:hAnsi="Times New Roman"/>
          <w:b w:val="false"/>
          <w:i w:val="false"/>
          <w:color w:val="000000"/>
          <w:sz w:val="22"/>
        </w:rPr>
        <w:t>A ticket or share may be canceled by returning the ticket or share to the selling retailer provided that the ticket or share is returned to the retailer the same day it was purchased in time to permit canceling to be fully completed prior to the closing time for that drawing. In the event that a ticket or share is canceled, the player will be entitled to a refund from the retailer equal to the purchase price of the ticket or share.</w:t>
      </w:r>
    </w:p>
    <w:p>
      <w:pPr>
        <w:spacing w:before="0" w:after="0"/>
        <w:ind w:left="120"/>
        <w:jc w:val="left"/>
      </w:pPr>
      <w:r>
        <w:rPr>
          <w:rFonts w:ascii="Times New Roman" w:hAnsi="Times New Roman"/>
          <w:b w:val="false"/>
          <w:i w:val="false"/>
          <w:color w:val="000000"/>
          <w:sz w:val="22"/>
        </w:rPr>
        <w:t>Cancellations will not be allowed in certain games as outlined in the specific game rules.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