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Prize insurance fund.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20.23(1)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may provide that up to 10 percent of the funds designated for the jackpot prize level in the prize structure of the specific game rules for a game or that any prize funding not awarded by the conclusion of the relevant claim period for a fixed-prize game shall be transferred to a prize insurance fund.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20.23(2)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prize insurance fund may be used for any of the following purposes: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pay prizes for any on-line game prize obligation if the amount available to fund an on-line game prize is insufficient;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support a special promotion to retire an on-line game, e.g., a television show or a second chance drawing;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transfer amounts to a successor game to pay prize obligations for a different on-line game.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