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531—20.21</w:t>
      </w:r>
      <w:r>
        <w:rPr>
          <w:rFonts w:ascii="Times New Roman" w:hAnsi="Times New Roman"/>
          <w:b/>
          <w:i w:val="false"/>
          <w:color w:val="000000"/>
          <w:sz w:val="22"/>
        </w:rPr>
        <w:t xml:space="preserve">(99G) </w:t>
      </w:r>
      <w:r>
        <w:rPr>
          <w:rFonts w:ascii="Times New Roman" w:hAnsi="Times New Roman"/>
          <w:b/>
          <w:i w:val="false"/>
          <w:color w:val="000000"/>
          <w:sz w:val="22"/>
        </w:rPr>
        <w:t xml:space="preserve">Cancellation or delay of play. </w:t>
      </w:r>
      <w:r>
        <w:rPr>
          <w:rFonts w:ascii="Times New Roman" w:hAnsi="Times New Roman"/>
          <w:b w:val="false"/>
          <w:i w:val="false"/>
          <w:color w:val="000000"/>
          <w:sz w:val="22"/>
        </w:rPr>
        <w:t>The lottery reserves the right to cancel or delay drawings or ticket or share sales in the event of technical difficulties, and on days of special importance or on days the drawings would be impractical or inappropriate.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