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531—20.17</w:t>
      </w:r>
      <w:r>
        <w:rPr>
          <w:rFonts w:ascii="Times New Roman" w:hAnsi="Times New Roman"/>
          <w:b/>
          <w:i w:val="false"/>
          <w:color w:val="000000"/>
          <w:sz w:val="22"/>
        </w:rPr>
        <w:t xml:space="preserve">(99G) </w:t>
      </w:r>
      <w:r>
        <w:rPr>
          <w:rFonts w:ascii="Times New Roman" w:hAnsi="Times New Roman"/>
          <w:b/>
          <w:i w:val="false"/>
          <w:color w:val="000000"/>
          <w:sz w:val="22"/>
        </w:rPr>
        <w:t xml:space="preserve">Corrections. </w:t>
      </w:r>
      <w:r>
        <w:rPr>
          <w:rFonts w:ascii="Times New Roman" w:hAnsi="Times New Roman"/>
          <w:b w:val="false"/>
          <w:i w:val="false"/>
          <w:color w:val="000000"/>
          <w:sz w:val="22"/>
        </w:rPr>
        <w:t>The lottery reserves the right to correct and adjust, up or down, the amount of any prize or prizes, whether all or part of the prize or prizes has been paid, if it is determined that one or more players are entitled to a portion of a prize and were not included in the prize calculations or were included in the prize calculations by mistake.</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