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531—20.16</w:t>
      </w:r>
      <w:r>
        <w:rPr>
          <w:rFonts w:ascii="Times New Roman" w:hAnsi="Times New Roman"/>
          <w:b/>
          <w:i w:val="false"/>
          <w:color w:val="000000"/>
          <w:sz w:val="22"/>
        </w:rPr>
        <w:t xml:space="preserve">(99G) </w:t>
      </w:r>
      <w:r>
        <w:rPr>
          <w:rFonts w:ascii="Times New Roman" w:hAnsi="Times New Roman"/>
          <w:b/>
          <w:i w:val="false"/>
          <w:color w:val="000000"/>
          <w:sz w:val="22"/>
        </w:rPr>
        <w:t xml:space="preserve">One prize per game play. </w:t>
      </w:r>
      <w:r>
        <w:rPr>
          <w:rFonts w:ascii="Times New Roman" w:hAnsi="Times New Roman"/>
          <w:b w:val="false"/>
          <w:i w:val="false"/>
          <w:color w:val="000000"/>
          <w:sz w:val="22"/>
        </w:rPr>
        <w:t>The holder of a winning ticket or share may win only one prize per game play in connection with the winning numbers drawn and shall be entitled only to the prize won by those numbers in the highest matching prize category.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