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531—20.13</w:t>
      </w:r>
      <w:r>
        <w:rPr>
          <w:rFonts w:ascii="Times New Roman" w:hAnsi="Times New Roman"/>
          <w:b/>
          <w:i w:val="false"/>
          <w:color w:val="000000"/>
          <w:sz w:val="22"/>
        </w:rPr>
        <w:t xml:space="preserve">(99G) </w:t>
      </w:r>
      <w:r>
        <w:rPr>
          <w:rFonts w:ascii="Times New Roman" w:hAnsi="Times New Roman"/>
          <w:b/>
          <w:i w:val="false"/>
          <w:color w:val="000000"/>
          <w:sz w:val="22"/>
        </w:rPr>
        <w:t xml:space="preserve">Claim period. </w:t>
      </w:r>
      <w:r>
        <w:rPr>
          <w:rFonts w:ascii="Times New Roman" w:hAnsi="Times New Roman"/>
          <w:b w:val="false"/>
          <w:i w:val="false"/>
          <w:color w:val="000000"/>
          <w:sz w:val="22"/>
        </w:rPr>
        <w:t>All prizes for games not associated with another state’s lottery must be claimed as directed within 90 calendar days of the drawing in which the prize was won, unless otherwise specified in the specific game rules for the game. All prizes for games associated with another state’s lottery must be claimed as directed within the specific game rules. For purposes of determining the claim period, the drawing date shall not be counted. If a prize is claimed by mail, the lottery must actually receive the ticket or share and claim form within the claim period. Any prize not properly claimed within the specified period shall be forfeited. The claim period for a game may be altered by the lottery in the specific game rules.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