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531—20.11</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or share ownership and prize entitlement.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w:t>
      </w:r>
      <w:r>
        <w:rPr>
          <w:rFonts w:ascii="Times New Roman" w:hAnsi="Times New Roman"/>
          <w:b w:val="false"/>
          <w:i w:val="false"/>
          <w:color w:val="000000"/>
          <w:sz w:val="22"/>
        </w:rPr>
        <w:t> </w:t>
      </w:r>
      <w:r>
        <w:rPr>
          <w:rFonts w:ascii="Times New Roman" w:hAnsi="Times New Roman"/>
          <w:b w:val="false"/>
          <w:i w:val="false"/>
          <w:color w:val="000000"/>
          <w:sz w:val="22"/>
        </w:rPr>
        <w:t>A ticket or share is owned by its physical possessor until a signature is placed on the back of a ticket in the area designated for signature. When a signature is placed on the back of the ticket or share in the designated space, the person whose signature appears in the designated space is the owner of the ticket or share and is entitled to any prize attributable to the ticket or share.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w:t>
      </w:r>
      <w:r>
        <w:rPr>
          <w:rFonts w:ascii="Times New Roman" w:hAnsi="Times New Roman"/>
          <w:b w:val="false"/>
          <w:i w:val="false"/>
          <w:color w:val="000000"/>
          <w:sz w:val="22"/>
        </w:rPr>
        <w:t> </w:t>
      </w:r>
      <w:r>
        <w:rPr>
          <w:rFonts w:ascii="Times New Roman" w:hAnsi="Times New Roman"/>
          <w:b w:val="false"/>
          <w:i w:val="false"/>
          <w:color w:val="000000"/>
          <w:sz w:val="22"/>
        </w:rPr>
        <w:t>Notwithstanding any name or names submitted on a claim form, the lottery shall make payment to the person whose signature appears on the back of the ticket or share in the designated space. If the signatures of more than one person appear in that space, the lottery shall make payment to the person identified on the winner’s claim form to receive payment, which designation shall be made by all persons whose signatures appear on the reverse side of the ticket or share. In the event that all persons whose signatures appear in the appropriate space cannot identify one person to whom payment should be made, the lottery may withhold payment until the proper payee is determined. In no event shall more than one person be entitled to a particular prize.</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