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531—20.10</w:t>
      </w:r>
      <w:r>
        <w:rPr>
          <w:rFonts w:ascii="Times New Roman" w:hAnsi="Times New Roman"/>
          <w:b/>
          <w:i w:val="false"/>
          <w:color w:val="000000"/>
          <w:sz w:val="22"/>
        </w:rPr>
        <w:t xml:space="preserve">(99G) </w:t>
      </w:r>
      <w:r>
        <w:rPr>
          <w:rFonts w:ascii="Times New Roman" w:hAnsi="Times New Roman"/>
          <w:b/>
          <w:i w:val="false"/>
          <w:color w:val="000000"/>
          <w:sz w:val="22"/>
        </w:rPr>
        <w:t xml:space="preserve">Changes for special promotions. </w:t>
      </w:r>
      <w:r>
        <w:rPr>
          <w:rFonts w:ascii="Times New Roman" w:hAnsi="Times New Roman"/>
          <w:b w:val="false"/>
          <w:i w:val="false"/>
          <w:color w:val="000000"/>
          <w:sz w:val="22"/>
        </w:rPr>
        <w:t>The lottery may alter the price of the tickets or shares, features, or prizes of the game or drawings to accommodate special promotions. Alterations made by the lottery shall be contained in the specific rules for the promotion.</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