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531—2.7</w:t>
      </w:r>
      <w:r>
        <w:rPr>
          <w:rFonts w:ascii="Times New Roman" w:hAnsi="Times New Roman"/>
          <w:b/>
          <w:i w:val="false"/>
          <w:color w:val="000000"/>
          <w:sz w:val="22"/>
        </w:rPr>
        <w:t xml:space="preserve">(99G) </w:t>
      </w:r>
      <w:r>
        <w:rPr>
          <w:rFonts w:ascii="Times New Roman" w:hAnsi="Times New Roman"/>
          <w:b/>
          <w:i w:val="false"/>
          <w:color w:val="000000"/>
          <w:sz w:val="22"/>
        </w:rPr>
        <w:t xml:space="preserve">Prospective vendor selection.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w:t>
      </w:r>
      <w:r>
        <w:rPr>
          <w:rFonts w:ascii="Times New Roman" w:hAnsi="Times New Roman"/>
          <w:b w:val="false"/>
          <w:i w:val="false"/>
          <w:color w:val="000000"/>
          <w:sz w:val="22"/>
        </w:rPr>
        <w:t> </w:t>
      </w:r>
      <w:r>
        <w:rPr>
          <w:rFonts w:ascii="Times New Roman" w:hAnsi="Times New Roman"/>
          <w:b w:val="false"/>
          <w:i w:val="false"/>
          <w:color w:val="000000"/>
          <w:sz w:val="22"/>
        </w:rPr>
        <w:t>Any firm or business legally conducting business within Iowa may request placement on the approved vendor list for a particular service or commodity by filing a vendor application form with the lottery. The lottery may mail copies of solicitation documents to vendors on the list for a particular item or to any other vendor that the lottery chooses to contact. A vendor may be refused placement on the list or suspended or permanently removed from the list for any of the following reasons: failure to respond to three consecutive solicitations; failure to deliver within specified delivery dates; failure to deliver in accordance with specifications; attempts to influence the decision of any state employee involved in the procurement process; evidence of agreements by the vendor to restrain trade or impede competitive bidding; and any other activities of the vendor which the lottery determines would render the vendor unsuitable.</w:t>
      </w:r>
    </w:p>
    <w:p>
      <w:pPr>
        <w:spacing w:before="0" w:after="0"/>
        <w:ind w:left="120"/>
        <w:jc w:val="both"/>
      </w:pPr>
      <w:r>
        <w:rPr>
          <w:rFonts w:ascii="Times New Roman" w:hAnsi="Times New Roman"/>
          <w:b w:val="false"/>
          <w:i w:val="false"/>
          <w:color w:val="000000"/>
          <w:sz w:val="22"/>
        </w:rPr>
        <w:t>The lottery shall notify a vendor in writing prior to refusing placement on the list, suspending the vendor from the list, or permanently removing the vendor from the list. The vendor shall be provided a reasonable opportunity to explain and cure any misconduct identified by the lottery. If the lottery ultimately refuses placement on the list or removes the vendor from the list, the vendor may appeal the lottery’s action to the lottery board pursuant to the criteria for vendor appeals contained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w:t>
      </w:r>
      <w:r>
        <w:rPr>
          <w:rFonts w:ascii="Times New Roman" w:hAnsi="Times New Roman"/>
          <w:b w:val="false"/>
          <w:i w:val="false"/>
          <w:color w:val="000000"/>
          <w:sz w:val="22"/>
        </w:rPr>
        <w:t> </w:t>
      </w:r>
      <w:r>
        <w:rPr>
          <w:rFonts w:ascii="Times New Roman" w:hAnsi="Times New Roman"/>
          <w:b w:val="false"/>
          <w:i w:val="false"/>
          <w:color w:val="000000"/>
          <w:sz w:val="22"/>
        </w:rPr>
        <w:t>The lottery shall select vendors to receive solicitation documents based on the lottery’s knowledge of the vendors in the particular market. The initial vendor selection shall be designed to promote the competitive bidding process, the set-aside procurement programs, and the best interests of the lottery. The lottery shall also provide solicitation documents to qualified vendors upon request when the request is made during the solicitation period. The vendor is solely responsible for ensuring that solicitation documents are received by the vendor.</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21.pdf" Type="http://schemas.openxmlformats.org/officeDocument/2006/relationships/hyperlink" Id="rId6"/>
    <Relationship TargetMode="External" Target="https://www.legis.iowa.gov/docs/ico/chapter/99G.2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