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531—2.3</w:t>
      </w:r>
      <w:r>
        <w:rPr>
          <w:rFonts w:ascii="Times New Roman" w:hAnsi="Times New Roman"/>
          <w:b/>
          <w:i w:val="false"/>
          <w:color w:val="000000"/>
          <w:sz w:val="22"/>
        </w:rPr>
        <w:t xml:space="preserve">(99G) </w:t>
      </w:r>
      <w:r>
        <w:rPr>
          <w:rFonts w:ascii="Times New Roman" w:hAnsi="Times New Roman"/>
          <w:b/>
          <w:i w:val="false"/>
          <w:color w:val="000000"/>
          <w:sz w:val="22"/>
        </w:rPr>
        <w:t xml:space="preserve">Items purchased through the department of administrative services. </w:t>
      </w:r>
      <w:r>
        <w:rPr>
          <w:rFonts w:ascii="Times New Roman" w:hAnsi="Times New Roman"/>
          <w:b w:val="false"/>
          <w:i w:val="false"/>
          <w:color w:val="000000"/>
          <w:sz w:val="22"/>
        </w:rPr>
        <w:t>Goods and services may be obtained by the lottery through the department of administrative services whenever procurement through administrative services is in the best interests of the lottery. Items procured through administrative services may be obtained by administrative services in any manner deemed appropriate by administrative services.</w:t>
      </w:r>
    </w:p>
    <w:p>
      <w:pPr>
        <w:spacing w:before="0" w:after="0"/>
        <w:ind w:left="120"/>
        <w:jc w:val="left"/>
      </w:pPr>
      <w:r>
        <w:rPr>
          <w:rFonts w:ascii="Times New Roman" w:hAnsi="Times New Roman"/>
          <w:b w:val="false"/>
          <w:i w:val="false"/>
          <w:color w:val="000000"/>
          <w:sz w:val="22"/>
        </w:rPr>
        <w:t xml:space="preserve">This rule is intended to implement Iowa Code Supplement sections </w:t>
      </w:r>
      <w:hyperlink r:id="rId4">
        <w:r>
          <w:rPr>
            <w:rStyle w:val="Hyperlink"/>
            <w:rFonts w:ascii="Times New Roman" w:hAnsi="Times New Roman"/>
            <w:b w:val="false"/>
            <w:i w:val="false"/>
            <w:color w:val="000000"/>
            <w:sz w:val="22"/>
          </w:rPr>
          <w:t>99G.7</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99G.9</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99G.23</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9G.7.pdf" Type="http://schemas.openxmlformats.org/officeDocument/2006/relationships/hyperlink" Id="rId4"/>
    <Relationship TargetMode="External" Target="https://www.legis.iowa.gov/docs/ico/chapter/99G.9.pdf" Type="http://schemas.openxmlformats.org/officeDocument/2006/relationships/hyperlink" Id="rId5"/>
    <Relationship TargetMode="External" Target="https://www.legis.iowa.gov/docs/ico/chapter/99G.21.pdf" Type="http://schemas.openxmlformats.org/officeDocument/2006/relationships/hyperlink" Id="rId6"/>
    <Relationship TargetMode="External" Target="https://www.legis.iowa.gov/docs/ico/chapter/99G.23.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