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531—2.13</w:t>
      </w:r>
      <w:r>
        <w:rPr>
          <w:rFonts w:ascii="Times New Roman" w:hAnsi="Times New Roman"/>
          <w:b/>
          <w:i w:val="false"/>
          <w:color w:val="000000"/>
          <w:sz w:val="22"/>
        </w:rPr>
        <w:t xml:space="preserve">(99G) </w:t>
      </w:r>
      <w:r>
        <w:rPr>
          <w:rFonts w:ascii="Times New Roman" w:hAnsi="Times New Roman"/>
          <w:b/>
          <w:i w:val="false"/>
          <w:color w:val="000000"/>
          <w:sz w:val="22"/>
        </w:rPr>
        <w:t xml:space="preserve">Modification or withdrawal of bids. </w:t>
      </w:r>
      <w:r>
        <w:rPr>
          <w:rFonts w:ascii="Times New Roman" w:hAnsi="Times New Roman"/>
          <w:b w:val="false"/>
          <w:i w:val="false"/>
          <w:color w:val="000000"/>
          <w:sz w:val="22"/>
        </w:rPr>
        <w:t>Bids or proposals may be modified or withdrawn prior to the time and date set for the bid or proposal opening. Modifications or withdrawals shall be in writing and delivered in a sealed envelope that properly identifies the correct bid or proposal to be modified or withdrawn. A bid or proposal may be withdrawn after opening only with the approval of the lottery if the lottery finds that an honest error was made by the vendor that will cause undue financial hardship to the vendor and that will not cause undue financial hardship or inconvenience to the lottery.</w:t>
      </w:r>
    </w:p>
    <w:p>
      <w:pPr>
        <w:spacing w:before="0" w:after="0"/>
        <w:ind w:left="120"/>
        <w:jc w:val="left"/>
      </w:pPr>
      <w:r>
        <w:rPr>
          <w:rFonts w:ascii="Times New Roman" w:hAnsi="Times New Roman"/>
          <w:b w:val="false"/>
          <w:i w:val="false"/>
          <w:color w:val="000000"/>
          <w:sz w:val="22"/>
        </w:rPr>
        <w:t xml:space="preserve">This rule is intended to implement Iowa Code Supplement sections </w:t>
      </w:r>
      <w:hyperlink r:id="rId4">
        <w:r>
          <w:rPr>
            <w:rStyle w:val="Hyperlink"/>
            <w:rFonts w:ascii="Times New Roman" w:hAnsi="Times New Roman"/>
            <w:b w:val="false"/>
            <w:i w:val="false"/>
            <w:color w:val="000000"/>
            <w:sz w:val="22"/>
          </w:rPr>
          <w:t>99G.7</w:t>
        </w:r>
      </w:hyperlink>
      <w:r>
        <w:rPr>
          <w:rFonts w:ascii="Times New Roman" w:hAnsi="Times New Roman"/>
          <w:b w:val="false"/>
          <w:i w:val="false"/>
          <w:color w:val="000000"/>
          <w:sz w:val="22"/>
        </w:rPr>
        <w:t xml:space="preserve">, </w:t>
      </w:r>
      <w:hyperlink r:id="rId5">
        <w:r>
          <w:rPr>
            <w:rStyle w:val="Hyperlink"/>
            <w:rFonts w:ascii="Times New Roman" w:hAnsi="Times New Roman"/>
            <w:b w:val="false"/>
            <w:i w:val="false"/>
            <w:color w:val="000000"/>
            <w:sz w:val="22"/>
          </w:rPr>
          <w:t>99G.9</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99G.21</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99G.23</w:t>
        </w:r>
      </w:hyperlink>
      <w:r>
        <w:rPr>
          <w:rFonts w:ascii="Times New Roman" w:hAnsi="Times New Roman"/>
          <w:b w:val="false"/>
          <w:i w:val="false"/>
          <w:color w:val="000000"/>
          <w:sz w:val="22"/>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99G.7.pdf" Type="http://schemas.openxmlformats.org/officeDocument/2006/relationships/hyperlink" Id="rId4"/>
    <Relationship TargetMode="External" Target="https://www.legis.iowa.gov/docs/ico/chapter/99G.9.pdf" Type="http://schemas.openxmlformats.org/officeDocument/2006/relationships/hyperlink" Id="rId5"/>
    <Relationship TargetMode="External" Target="https://www.legis.iowa.gov/docs/ico/chapter/99G.21.pdf" Type="http://schemas.openxmlformats.org/officeDocument/2006/relationships/hyperlink" Id="rId6"/>
    <Relationship TargetMode="External" Target="https://www.legis.iowa.gov/docs/ico/chapter/99G.23.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