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531—2.11</w:t>
      </w:r>
      <w:r>
        <w:rPr>
          <w:rFonts w:ascii="Times New Roman" w:hAnsi="Times New Roman"/>
          <w:b/>
          <w:i w:val="false"/>
          <w:color w:val="000000"/>
          <w:sz w:val="22"/>
        </w:rPr>
        <w:t xml:space="preserve">(99G) </w:t>
      </w:r>
      <w:r>
        <w:rPr>
          <w:rFonts w:ascii="Times New Roman" w:hAnsi="Times New Roman"/>
          <w:b/>
          <w:i w:val="false"/>
          <w:color w:val="000000"/>
          <w:sz w:val="22"/>
        </w:rPr>
        <w:t xml:space="preserve">Tie bids. </w:t>
      </w:r>
      <w:r>
        <w:rPr>
          <w:rFonts w:ascii="Times New Roman" w:hAnsi="Times New Roman"/>
          <w:b w:val="false"/>
          <w:i w:val="false"/>
          <w:color w:val="000000"/>
          <w:sz w:val="22"/>
        </w:rPr>
        <w:t>The lottery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w:t>
      </w:r>
    </w:p>
    <w:p>
      <w:pPr>
        <w:spacing w:before="0" w:after="0"/>
        <w:ind w:left="120"/>
        <w:jc w:val="left"/>
      </w:pPr>
      <w:r>
        <w:rPr>
          <w:rFonts w:ascii="Times New Roman" w:hAnsi="Times New Roman"/>
          <w:b w:val="false"/>
          <w:i w:val="false"/>
          <w:color w:val="000000"/>
          <w:sz w:val="22"/>
        </w:rPr>
        <w:t>If it is necessary to draw lots, the drawing shall be held in the presence of the vendors who submitted the tied bids or proposals whenever practical. If the tied vendors are not present, the drawing shall be held in front of at least two persons, and the lottery shall document the drawing.</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