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531—19.9</w:t>
      </w:r>
      <w:r>
        <w:rPr>
          <w:rFonts w:ascii="Times New Roman" w:hAnsi="Times New Roman"/>
          <w:b/>
          <w:i w:val="false"/>
          <w:color w:val="000000"/>
          <w:sz w:val="22"/>
        </w:rPr>
        <w:t xml:space="preserve">(99G) </w:t>
      </w:r>
      <w:r>
        <w:rPr>
          <w:rFonts w:ascii="Times New Roman" w:hAnsi="Times New Roman"/>
          <w:b/>
          <w:i w:val="false"/>
          <w:color w:val="000000"/>
          <w:sz w:val="22"/>
        </w:rPr>
        <w:t xml:space="preserve">Owner of ticket. </w:t>
      </w:r>
      <w:r>
        <w:rPr>
          <w:rFonts w:ascii="Times New Roman" w:hAnsi="Times New Roman"/>
          <w:b w:val="false"/>
          <w:i w:val="false"/>
          <w:color w:val="000000"/>
          <w:sz w:val="22"/>
        </w:rPr>
        <w:t>Retailers shall pay prizes only to persons who present winning tickets. The person in physical possession of a pull-tab ticket shall be deemed to be the owner of the ticket who is entitled to prize payment regardless of any signature or other writing that may have been placed on the ticket after purchase.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