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531—19.13</w:t>
      </w:r>
      <w:r>
        <w:rPr>
          <w:rFonts w:ascii="Times New Roman" w:hAnsi="Times New Roman"/>
          <w:b/>
          <w:i w:val="false"/>
          <w:color w:val="000000"/>
          <w:sz w:val="22"/>
        </w:rPr>
        <w:t xml:space="preserve">(99G) </w:t>
      </w:r>
      <w:r>
        <w:rPr>
          <w:rFonts w:ascii="Times New Roman" w:hAnsi="Times New Roman"/>
          <w:b/>
          <w:i w:val="false"/>
          <w:color w:val="000000"/>
          <w:sz w:val="22"/>
        </w:rPr>
        <w:t xml:space="preserve">Board approval of game. </w:t>
      </w:r>
      <w:r>
        <w:rPr>
          <w:rFonts w:ascii="Times New Roman" w:hAnsi="Times New Roman"/>
          <w:b w:val="false"/>
          <w:i w:val="false"/>
          <w:color w:val="000000"/>
          <w:sz w:val="22"/>
        </w:rPr>
        <w:t>After selection of a particular pull-tab game, the lottery shall provide board members with written notification that a particular game has been selected. The chairperson of the board or a quorum of the board may call a meeting to review the game selection. If the lottery board does not disapprove of the game within five working days following receipt of notice that the game has been selected, the board may not later disapprove of the game.</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