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531—18.6</w:t>
      </w:r>
      <w:r>
        <w:rPr>
          <w:rFonts w:ascii="Times New Roman" w:hAnsi="Times New Roman"/>
          <w:b/>
          <w:i w:val="false"/>
          <w:color w:val="000000"/>
          <w:sz w:val="22"/>
        </w:rPr>
        <w:t xml:space="preserve">(99G) </w:t>
      </w:r>
      <w:r>
        <w:rPr>
          <w:rFonts w:ascii="Times New Roman" w:hAnsi="Times New Roman"/>
          <w:b/>
          <w:i w:val="false"/>
          <w:color w:val="000000"/>
          <w:sz w:val="22"/>
        </w:rPr>
        <w:t xml:space="preserve">Annuity prizes. </w:t>
      </w:r>
      <w:r>
        <w:rPr>
          <w:rFonts w:ascii="Times New Roman" w:hAnsi="Times New Roman"/>
          <w:b w:val="false"/>
          <w:i w:val="false"/>
          <w:color w:val="000000"/>
          <w:sz w:val="22"/>
        </w:rPr>
        <w:t>If a prize offered in a scratch game or an instaplay game is an annuity, the prize shall consist of an initial prize payment followed by yearly installments as described in the specific game rules. If the current cash value of an annuity prize attributable to a single ticket or entry is less than $100,000, the lottery may elect to pay the current cash value of the prize in one lump-sum payment.</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2781C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