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531—18.4</w:t>
      </w:r>
      <w:r>
        <w:rPr>
          <w:rFonts w:ascii="Times New Roman" w:hAnsi="Times New Roman"/>
          <w:b/>
          <w:i w:val="false"/>
          <w:color w:val="000000"/>
          <w:sz w:val="22"/>
        </w:rPr>
        <w:t xml:space="preserve">(99G) </w:t>
      </w:r>
      <w:r>
        <w:rPr>
          <w:rFonts w:ascii="Times New Roman" w:hAnsi="Times New Roman"/>
          <w:b/>
          <w:i w:val="false"/>
          <w:color w:val="000000"/>
          <w:sz w:val="22"/>
        </w:rPr>
        <w:t xml:space="preserve">Method of play. </w:t>
      </w:r>
      <w:r>
        <w:rPr>
          <w:rFonts w:ascii="Times New Roman" w:hAnsi="Times New Roman"/>
          <w:b w:val="false"/>
          <w:i w:val="false"/>
          <w:color w:val="000000"/>
          <w:sz w:val="22"/>
        </w:rPr>
        <w:t>Winners of a prize may be determined by such activities as locating, matching, or adding the play symbols on the tickets or by any other play action approved by the lottery. The exact method of designating a winning ticket shall be determined by the lottery and shall be set forth in the specific game rules.</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1.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