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531—18.10</w:t>
      </w:r>
      <w:r>
        <w:rPr>
          <w:rFonts w:ascii="Times New Roman" w:hAnsi="Times New Roman"/>
          <w:b/>
          <w:i w:val="false"/>
          <w:color w:val="000000"/>
          <w:sz w:val="22"/>
        </w:rPr>
        <w:t xml:space="preserve">(99G) </w:t>
      </w:r>
      <w:r>
        <w:rPr>
          <w:rFonts w:ascii="Times New Roman" w:hAnsi="Times New Roman"/>
          <w:b/>
          <w:i w:val="false"/>
          <w:color w:val="000000"/>
          <w:sz w:val="22"/>
        </w:rPr>
        <w:t xml:space="preserve">Official end of game. </w:t>
      </w:r>
      <w:r>
        <w:rPr>
          <w:rFonts w:ascii="Times New Roman" w:hAnsi="Times New Roman"/>
          <w:b w:val="false"/>
          <w:i w:val="false"/>
          <w:color w:val="000000"/>
          <w:sz w:val="22"/>
        </w:rPr>
        <w:t>The lottery shall announce the official end of each scratch game and each instaplay game. Retailers may continue to sell tickets for each game up to the cutoff date specified by the lottery.</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2781C</w:t>
      </w:r>
      <w:r>
        <w:rPr>
          <w:rFonts w:ascii="Times New Roman" w:hAnsi="Times New Roman"/>
          <w:b w:val="false"/>
          <w:i w:val="false"/>
          <w:color w:val="000000"/>
          <w:sz w:val="16"/>
        </w:rPr>
        <w:t>, IAB 10/26/16, effective 11/30/16</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9.pdf" Type="http://schemas.openxmlformats.org/officeDocument/2006/relationships/hyperlink" Id="rId4"/>
    <Relationship TargetMode="External" Target="https://www.legis.iowa.gov/docs/ico/chapter/99G.21.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