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531—14.9</w:t>
      </w:r>
      <w:r>
        <w:rPr>
          <w:rFonts w:ascii="Times New Roman" w:hAnsi="Times New Roman"/>
          <w:b/>
          <w:i w:val="false"/>
          <w:color w:val="000000"/>
          <w:sz w:val="22"/>
        </w:rPr>
        <w:t xml:space="preserve">(99G) </w:t>
      </w:r>
      <w:r>
        <w:rPr>
          <w:rFonts w:ascii="Times New Roman" w:hAnsi="Times New Roman"/>
          <w:b/>
          <w:i w:val="false"/>
          <w:color w:val="000000"/>
          <w:sz w:val="22"/>
        </w:rPr>
        <w:t xml:space="preserve">MVM placement and operation. </w:t>
      </w:r>
      <w:r>
        <w:rPr>
          <w:rFonts w:ascii="Times New Roman" w:hAnsi="Times New Roman"/>
          <w:b w:val="false"/>
          <w:i w:val="false"/>
          <w:color w:val="000000"/>
          <w:sz w:val="22"/>
        </w:rPr>
        <w:t>Licensed MVM retailers shall locate their MVMs at their discretion, subject to the following requirements: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All MVMs shall be located only on licensed MVM premises.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No MVM shall be located in any establishment that is incompatible with the dignity of the state.</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 xml:space="preserve">Only MVMs certified by the lottery’s chief executive officer pursuant to </w:t>
      </w:r>
      <w:hyperlink r:id="rId4">
        <w:r>
          <w:rPr>
            <w:rStyle w:val="Hyperlink"/>
            <w:rFonts w:ascii="Times New Roman" w:hAnsi="Times New Roman"/>
            <w:b w:val="false"/>
            <w:i w:val="false"/>
            <w:color w:val="000000"/>
            <w:sz w:val="22"/>
          </w:rPr>
          <w:t>rule 14.19(99G)</w:t>
        </w:r>
      </w:hyperlink>
      <w:r>
        <w:rPr>
          <w:rFonts w:ascii="Times New Roman" w:hAnsi="Times New Roman"/>
          <w:b w:val="false"/>
          <w:i w:val="false"/>
          <w:color w:val="000000"/>
          <w:sz w:val="22"/>
        </w:rPr>
        <w:t xml:space="preserve"> may be placed in licensed MVM premises. A list of such certified MVMs may be obtained from the lottery.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Only graphics displays and audio authorized by the lottery shall be used on MVMs. MVM retailers shall make no changes, alterations, or additions to the lottery-authorized graphics displays, the lottery-authorized audio played by the MVMs, or to the cabinet exteriors of MVMs.</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In cases where an MVM is located on an MVM premises not owned by the MVM retailer, the MVM retailer shall be solely responsible for securing the rights necessary to locate the MVM on such premises and shall provide proof of such rights to the lottery upon request. Under no circumstances shall the lottery be responsible to the MVM premises operator or owner as a consequence of the placement of an MVM by an MVM retailer.</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Under no circumstances shall the lottery be responsible for the expense of installing electrical circuits or telecommunications lines or for any power or telecommunications services necessary to operate an MVM.</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14.19.pdf" Type="http://schemas.openxmlformats.org/officeDocument/2006/relationships/hyperlink" Id="rId4"/>
    <Relationship TargetMode="External" Target="https://www.legis.iowa.gov/docs/ico/chapter/99G.7.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