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531—14.7</w:t>
      </w:r>
      <w:r>
        <w:rPr>
          <w:rFonts w:ascii="Times New Roman" w:hAnsi="Times New Roman"/>
          <w:b/>
          <w:i w:val="false"/>
          <w:color w:val="000000"/>
          <w:sz w:val="22"/>
        </w:rPr>
        <w:t xml:space="preserve">(99G) </w:t>
      </w:r>
      <w:r>
        <w:rPr>
          <w:rFonts w:ascii="Times New Roman" w:hAnsi="Times New Roman"/>
          <w:b/>
          <w:i w:val="false"/>
          <w:color w:val="000000"/>
          <w:sz w:val="22"/>
        </w:rPr>
        <w:t xml:space="preserve">Expiration of MVM licenses. </w:t>
      </w:r>
      <w:r>
        <w:rPr>
          <w:rFonts w:ascii="Times New Roman" w:hAnsi="Times New Roman"/>
          <w:b w:val="false"/>
          <w:i w:val="false"/>
          <w:color w:val="000000"/>
          <w:sz w:val="22"/>
        </w:rPr>
        <w:t>An MVM license is valid until it expires, is terminated by a change of circumstances, is surrendered by the licensee, or is revoked by the lottery. An MVM license that does not have an expiration date will continue indefinitely until it is surrendered, revoked, or terminated by a change in circumstances.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99G.24(3)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99G.27</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24.pdf" Type="http://schemas.openxmlformats.org/officeDocument/2006/relationships/hyperlink" Id="rId6"/>
    <Relationship TargetMode="External" Target="https://www.legis.iowa.gov/docs/ico/chapter/99G.27.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