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531—14.6</w:t>
      </w:r>
      <w:r>
        <w:rPr>
          <w:rFonts w:ascii="Times New Roman" w:hAnsi="Times New Roman"/>
          <w:b/>
          <w:i w:val="false"/>
          <w:color w:val="000000"/>
          <w:sz w:val="22"/>
        </w:rPr>
        <w:t xml:space="preserve">(99G) </w:t>
      </w:r>
      <w:r>
        <w:rPr>
          <w:rFonts w:ascii="Times New Roman" w:hAnsi="Times New Roman"/>
          <w:b/>
          <w:i w:val="false"/>
          <w:color w:val="000000"/>
          <w:sz w:val="22"/>
        </w:rPr>
        <w:t xml:space="preserve">Transfer of MVM licenses prohibited. </w:t>
      </w:r>
      <w:r>
        <w:rPr>
          <w:rFonts w:ascii="Times New Roman" w:hAnsi="Times New Roman"/>
          <w:b w:val="false"/>
          <w:i w:val="false"/>
          <w:color w:val="000000"/>
          <w:sz w:val="22"/>
        </w:rPr>
        <w:t>MVM licenses may not be transferred to any other person or entity and do not authorize the sale of lottery products at any location other than those permitted by lottery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5.pdf" Type="http://schemas.openxmlformats.org/officeDocument/2006/relationships/hyperlink" Id="rId7"/>
    <Relationship TargetMode="External" Target="https://www.legis.iowa.gov/docs/ico/chapter/99G.3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