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531—14.5</w:t>
      </w:r>
      <w:r>
        <w:rPr>
          <w:rFonts w:ascii="Times New Roman" w:hAnsi="Times New Roman"/>
          <w:b/>
          <w:i w:val="false"/>
          <w:color w:val="000000"/>
          <w:sz w:val="22"/>
        </w:rPr>
        <w:t xml:space="preserve">(99G) </w:t>
      </w:r>
      <w:r>
        <w:rPr>
          <w:rFonts w:ascii="Times New Roman" w:hAnsi="Times New Roman"/>
          <w:b/>
          <w:i w:val="false"/>
          <w:color w:val="000000"/>
          <w:sz w:val="22"/>
        </w:rPr>
        <w:t xml:space="preserve">MVM premises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Before an MVM may be used to vend lottery products, the premises on which the MVM is to be located must be licensed by the chief executive officer of the lottery. An MVM premises shall be licensed only after all of the following requirements have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MVM premises operator shall have passed a criminal background check.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MVM premises shall have been demonstrated to be compatible with the dignity of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chief executive officer shall have determined that the MVM premises is an age-controlled environment. Examples of age-controlled environments are premises where the age of patrons is monitored by the employees of the establishment.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lottery MVM premises license applications must be accompanied by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The MVM premises operator shall post its MVM license, or a facsimile, at the MVM premises. The license or a facsimile thereof may be affixed to the MVM.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premises on which MVMs will be located must be licensed pursuant to </w:t>
      </w:r>
      <w:hyperlink r:id="rId4">
        <w:r>
          <w:rPr>
            <w:rStyle w:val="Hyperlink"/>
            <w:rFonts w:ascii="Times New Roman" w:hAnsi="Times New Roman"/>
            <w:b w:val="false"/>
            <w:i w:val="false"/>
            <w:color w:val="000000"/>
            <w:sz w:val="22"/>
          </w:rPr>
          <w:t>rule 14.5(99G)</w:t>
        </w:r>
      </w:hyperlink>
      <w:r>
        <w:rPr>
          <w:rFonts w:ascii="Times New Roman" w:hAnsi="Times New Roman"/>
          <w:b w:val="false"/>
          <w:i w:val="false"/>
          <w:color w:val="000000"/>
          <w:sz w:val="22"/>
        </w:rPr>
        <w:t xml:space="preserve">, even if the premises operator holds a lottery license pursuant to the rules contained in </w:t>
      </w:r>
      <w:hyperlink r:id="rId5">
        <w:r>
          <w:rPr>
            <w:rStyle w:val="Hyperlink"/>
            <w:rFonts w:ascii="Times New Roman" w:hAnsi="Times New Roman"/>
            <w:b w:val="false"/>
            <w:i w:val="false"/>
            <w:color w:val="000000"/>
            <w:sz w:val="22"/>
          </w:rPr>
          <w:t>531—Chapters 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MVM premises licenses shall be issued in accordance with the lottery’s MVM business plan.</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14.5.pdf" Type="http://schemas.openxmlformats.org/officeDocument/2006/relationships/hyperlink" Id="rId4"/>
    <Relationship TargetMode="External" Target="https://www.legis.iowa.gov/docs/iac/chapter/531.12.pdf" Type="http://schemas.openxmlformats.org/officeDocument/2006/relationships/hyperlink" Id="rId5"/>
    <Relationship TargetMode="External" Target="https://www.legis.iowa.gov/docs/iac/chapter/531.13.pdf" Type="http://schemas.openxmlformats.org/officeDocument/2006/relationships/hyperlink" Id="rId6"/>
    <Relationship TargetMode="External" Target="https://www.legis.iowa.gov/docs/ico/chapter/99G.9.pdf" Type="http://schemas.openxmlformats.org/officeDocument/2006/relationships/hyperlink" Id="rId7"/>
    <Relationship TargetMode="External" Target="https://www.legis.iowa.gov/docs/ico/chapter/99G.30.pdf" Type="http://schemas.openxmlformats.org/officeDocument/2006/relationships/hyperlink" Id="rId8"/>
    <Relationship TargetMode="External" Target="https://www.legis.iowa.gov/docs/ico/chapter/99G.3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