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531—14.4</w:t>
      </w:r>
      <w:r>
        <w:rPr>
          <w:rFonts w:ascii="Times New Roman" w:hAnsi="Times New Roman"/>
          <w:b/>
          <w:i w:val="false"/>
          <w:color w:val="000000"/>
          <w:sz w:val="22"/>
        </w:rPr>
        <w:t xml:space="preserve">(99G,252J) </w:t>
      </w:r>
      <w:r>
        <w:rPr>
          <w:rFonts w:ascii="Times New Roman" w:hAnsi="Times New Roman"/>
          <w:b/>
          <w:i w:val="false"/>
          <w:color w:val="000000"/>
          <w:sz w:val="22"/>
        </w:rPr>
        <w:t xml:space="preserve">MVM retailer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w:t>
      </w:r>
      <w:r>
        <w:rPr>
          <w:rFonts w:ascii="Times New Roman" w:hAnsi="Times New Roman"/>
          <w:b w:val="false"/>
          <w:i w:val="false"/>
          <w:color w:val="000000"/>
          <w:sz w:val="22"/>
        </w:rPr>
        <w:t> </w:t>
      </w:r>
      <w:r>
        <w:rPr>
          <w:rFonts w:ascii="Times New Roman" w:hAnsi="Times New Roman"/>
          <w:b w:val="false"/>
          <w:i w:val="false"/>
          <w:color w:val="000000"/>
          <w:sz w:val="22"/>
        </w:rPr>
        <w:t>Any MVM retailer or MVM distributor must possess an MVM retailer license before purchasing, selling, or leasing any MVMs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14.4(2)</w:t>
      </w:r>
      <w:r>
        <w:rPr>
          <w:rFonts w:ascii="Times New Roman" w:hAnsi="Times New Roman"/>
          <w:b w:val="false"/>
          <w:i w:val="false"/>
          <w:color w:val="000000"/>
          <w:sz w:val="22"/>
        </w:rPr>
        <w:t> </w:t>
      </w:r>
      <w:r>
        <w:rPr>
          <w:rFonts w:ascii="Times New Roman" w:hAnsi="Times New Roman"/>
          <w:b w:val="false"/>
          <w:i w:val="false"/>
          <w:color w:val="000000"/>
          <w:sz w:val="22"/>
        </w:rPr>
        <w:t>No MVM retailer license will be issued to an MVM manufacturer or any parent, subsidiary, or affiliated company or entity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lottery has discretion to license a qualified applicant to sell lottery products from MVMs. An MVM retailer license authorizes the licensee to sell only the type of lottery products specified on the license and only from MVMs that have been certified by the chief executive officer of the lottery pursuant to </w:t>
      </w:r>
      <w:hyperlink r:id="rId4">
        <w:r>
          <w:rPr>
            <w:rStyle w:val="Hyperlink"/>
            <w:rFonts w:ascii="Times New Roman" w:hAnsi="Times New Roman"/>
            <w:b w:val="false"/>
            <w:i w:val="false"/>
            <w:color w:val="000000"/>
            <w:sz w:val="22"/>
          </w:rPr>
          <w:t>rule 14.19(99G)</w:t>
        </w:r>
      </w:hyperlink>
      <w:r>
        <w:rPr>
          <w:rFonts w:ascii="Times New Roman" w:hAnsi="Times New Roman"/>
          <w:b w:val="false"/>
          <w:i w:val="false"/>
          <w:color w:val="000000"/>
          <w:sz w:val="22"/>
        </w:rPr>
        <w:t>. MVM retailer licenses also allow the licensees to distribute lottery-certified MVMs. The lottery shall maintain a list of MVMs that have been certified by the chief executive officer as meeting lottery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14.4(4)</w:t>
      </w:r>
      <w:r>
        <w:rPr>
          <w:rFonts w:ascii="Times New Roman" w:hAnsi="Times New Roman"/>
          <w:b w:val="false"/>
          <w:i w:val="false"/>
          <w:color w:val="000000"/>
          <w:sz w:val="22"/>
        </w:rPr>
        <w:t> </w:t>
      </w:r>
      <w:r>
        <w:rPr>
          <w:rFonts w:ascii="Times New Roman" w:hAnsi="Times New Roman"/>
          <w:b w:val="false"/>
          <w:i w:val="false"/>
          <w:color w:val="000000"/>
          <w:sz w:val="22"/>
        </w:rPr>
        <w:t xml:space="preserve">An MVM retailer license is not limited to a specific location, but MVMs may only be used to sell lottery products on premises that have been licensed pursuant to </w:t>
      </w:r>
      <w:hyperlink r:id="rId5">
        <w:r>
          <w:rPr>
            <w:rStyle w:val="Hyperlink"/>
            <w:rFonts w:ascii="Times New Roman" w:hAnsi="Times New Roman"/>
            <w:b w:val="false"/>
            <w:i w:val="false"/>
            <w:color w:val="000000"/>
            <w:sz w:val="22"/>
          </w:rPr>
          <w:t>rule 14.5(99G)</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14.4(5)</w:t>
      </w:r>
      <w:r>
        <w:rPr>
          <w:rFonts w:ascii="Times New Roman" w:hAnsi="Times New Roman"/>
          <w:b w:val="false"/>
          <w:i w:val="false"/>
          <w:color w:val="000000"/>
          <w:sz w:val="22"/>
        </w:rPr>
        <w:t> </w:t>
      </w:r>
      <w:r>
        <w:rPr>
          <w:rFonts w:ascii="Times New Roman" w:hAnsi="Times New Roman"/>
          <w:b w:val="false"/>
          <w:i w:val="false"/>
          <w:color w:val="000000"/>
          <w:sz w:val="22"/>
        </w:rPr>
        <w:t>Any eligible applicant may apply for an MVM retailer license by first filing with the lottery an application form together with any supplements required. Supplements may include, but are not limited to, authorizations to investigate criminal history, financial records and financial resources, and authorizations to allow the lottery to conduct site surveys.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14.4(6)</w:t>
      </w:r>
      <w:r>
        <w:rPr>
          <w:rFonts w:ascii="Times New Roman" w:hAnsi="Times New Roman"/>
          <w:b w:val="false"/>
          <w:i w:val="false"/>
          <w:color w:val="000000"/>
          <w:sz w:val="22"/>
        </w:rPr>
        <w:t> </w:t>
      </w:r>
      <w:r>
        <w:rPr>
          <w:rFonts w:ascii="Times New Roman" w:hAnsi="Times New Roman"/>
          <w:b w:val="false"/>
          <w:i w:val="false"/>
          <w:color w:val="000000"/>
          <w:sz w:val="22"/>
        </w:rPr>
        <w:t>All lottery MVM license applications must be accompanied by a nonrefundable fee of $25.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14.4(7)</w:t>
      </w:r>
      <w:r>
        <w:rPr>
          <w:rFonts w:ascii="Times New Roman" w:hAnsi="Times New Roman"/>
          <w:b w:val="false"/>
          <w:i w:val="false"/>
          <w:color w:val="000000"/>
          <w:sz w:val="22"/>
        </w:rPr>
        <w:t> </w:t>
      </w:r>
      <w:r>
        <w:rPr>
          <w:rFonts w:ascii="Times New Roman" w:hAnsi="Times New Roman"/>
          <w:b w:val="false"/>
          <w:i w:val="false"/>
          <w:color w:val="000000"/>
          <w:sz w:val="22"/>
        </w:rPr>
        <w:t>The lottery may waive the payment of any license fee to facilitate an experimental program or a research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14.4(8)</w:t>
      </w:r>
      <w:r>
        <w:rPr>
          <w:rFonts w:ascii="Times New Roman" w:hAnsi="Times New Roman"/>
          <w:b w:val="false"/>
          <w:i w:val="false"/>
          <w:color w:val="000000"/>
          <w:sz w:val="22"/>
        </w:rPr>
        <w:t> </w:t>
      </w:r>
      <w:r>
        <w:rPr>
          <w:rFonts w:ascii="Times New Roman" w:hAnsi="Times New Roman"/>
          <w:b w:val="false"/>
          <w:i w:val="false"/>
          <w:color w:val="000000"/>
          <w:sz w:val="22"/>
        </w:rPr>
        <w:t>A limited number of MVM retailers may be selected from applications received. The selection shall be made based on criteria designed to produce the maximum amount of net revenue and serve the public convenience. The lottery may refuse to accept MVM retailer license applications for a period of time if the lottery determines that the number of existing MVM retailer licensees is adequate to market lottery products.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lottery will grant, deny, or place on hold all applications within 60 days of acceptance of an application. Applications placed on hold shall be considered denied for purposes of appeal. If an application is denied because the lottery has received a certificate of noncompliance from the child support recovery unit in regard to an individual, the effective date of denial of the issuance of the license, as specified in the notice required by Iowa Code section </w:t>
      </w:r>
      <w:hyperlink r:id="rId6">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of the notice upon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14.4(10)</w:t>
      </w:r>
      <w:r>
        <w:rPr>
          <w:rFonts w:ascii="Times New Roman" w:hAnsi="Times New Roman"/>
          <w:b w:val="false"/>
          <w:i w:val="false"/>
          <w:color w:val="000000"/>
          <w:sz w:val="22"/>
        </w:rPr>
        <w:t> </w:t>
      </w:r>
      <w:r>
        <w:rPr>
          <w:rFonts w:ascii="Times New Roman" w:hAnsi="Times New Roman"/>
          <w:b w:val="false"/>
          <w:i w:val="false"/>
          <w:color w:val="000000"/>
          <w:sz w:val="22"/>
        </w:rPr>
        <w:t xml:space="preserve">A lottery licensee holding a lottery license pursuant to the rules contained in </w:t>
      </w:r>
      <w:hyperlink r:id="rId7">
        <w:r>
          <w:rPr>
            <w:rStyle w:val="Hyperlink"/>
            <w:rFonts w:ascii="Times New Roman" w:hAnsi="Times New Roman"/>
            <w:b w:val="false"/>
            <w:i w:val="false"/>
            <w:color w:val="000000"/>
            <w:sz w:val="22"/>
          </w:rPr>
          <w:t>531—Chapters 12</w:t>
        </w:r>
      </w:hyperlink>
      <w:r>
        <w:rPr>
          <w:rFonts w:ascii="Times New Roman" w:hAnsi="Times New Roman"/>
          <w:b w:val="false"/>
          <w:i w:val="false"/>
          <w:color w:val="000000"/>
          <w:sz w:val="22"/>
        </w:rPr>
        <w:t xml:space="preserve"> and 13 may sell lottery products from MVMs only if that licensee possesses a separate MVM license. Any premises on which MVMs will be located must be licensed pursuant to </w:t>
      </w:r>
      <w:hyperlink r:id="rId8">
        <w:r>
          <w:rPr>
            <w:rStyle w:val="Hyperlink"/>
            <w:rFonts w:ascii="Times New Roman" w:hAnsi="Times New Roman"/>
            <w:b w:val="false"/>
            <w:i w:val="false"/>
            <w:color w:val="000000"/>
            <w:sz w:val="22"/>
          </w:rPr>
          <w:t>rule 14.5(99G)</w:t>
        </w:r>
      </w:hyperlink>
      <w:r>
        <w:rPr>
          <w:rFonts w:ascii="Times New Roman" w:hAnsi="Times New Roman"/>
          <w:b w:val="false"/>
          <w:i w:val="false"/>
          <w:color w:val="000000"/>
          <w:sz w:val="22"/>
        </w:rPr>
        <w:t xml:space="preserve">, even if the premises operator holds a lottery license pursuant to the rules contained in </w:t>
      </w:r>
      <w:hyperlink r:id="rId9">
        <w:r>
          <w:rPr>
            <w:rStyle w:val="Hyperlink"/>
            <w:rFonts w:ascii="Times New Roman" w:hAnsi="Times New Roman"/>
            <w:b w:val="false"/>
            <w:i w:val="false"/>
            <w:color w:val="000000"/>
            <w:sz w:val="22"/>
          </w:rPr>
          <w:t>531—Chapters 12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14.4(11)</w:t>
      </w:r>
      <w:r>
        <w:rPr>
          <w:rFonts w:ascii="Times New Roman" w:hAnsi="Times New Roman"/>
          <w:b w:val="false"/>
          <w:i w:val="false"/>
          <w:color w:val="000000"/>
          <w:sz w:val="22"/>
        </w:rPr>
        <w:t> </w:t>
      </w:r>
      <w:r>
        <w:rPr>
          <w:rFonts w:ascii="Times New Roman" w:hAnsi="Times New Roman"/>
          <w:b w:val="false"/>
          <w:i w:val="false"/>
          <w:color w:val="000000"/>
          <w:sz w:val="22"/>
        </w:rPr>
        <w:t>Notwithstanding any of the foregoing, licensees of the Iowa racing and gaming commission making application for an MVM retailer license will not be required to submit to the lottery’s criminal background check.</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252J.2</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Iowa Code Supplement sections </w:t>
      </w:r>
      <w:hyperlink r:id="rId13">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99G.21(2)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99G.24</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99G.30</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14.19.pdf" Type="http://schemas.openxmlformats.org/officeDocument/2006/relationships/hyperlink" Id="rId4"/>
    <Relationship TargetMode="External" Target="https://www.legis.iowa.gov/docs/iac/rule/531.14.5.pdf" Type="http://schemas.openxmlformats.org/officeDocument/2006/relationships/hyperlink" Id="rId5"/>
    <Relationship TargetMode="External" Target="https://www.legis.iowa.gov/docs/ico/chapter/252J.8.pdf" Type="http://schemas.openxmlformats.org/officeDocument/2006/relationships/hyperlink" Id="rId6"/>
    <Relationship TargetMode="External" Target="https://www.legis.iowa.gov/docs/iac/chapter/531.12.pdf" Type="http://schemas.openxmlformats.org/officeDocument/2006/relationships/hyperlink" Id="rId7"/>
    <Relationship TargetMode="External" Target="https://www.legis.iowa.gov/docs/iac/rule/531.14.5.pdf" Type="http://schemas.openxmlformats.org/officeDocument/2006/relationships/hyperlink" Id="rId8"/>
    <Relationship TargetMode="External" Target="https://www.legis.iowa.gov/docs/iac/chapter/531.12.pdf" Type="http://schemas.openxmlformats.org/officeDocument/2006/relationships/hyperlink" Id="rId9"/>
    <Relationship TargetMode="External" Target="https://www.legis.iowa.gov/docs/iac/chapter/531.13.pdf" Type="http://schemas.openxmlformats.org/officeDocument/2006/relationships/hyperlink" Id="rId10"/>
    <Relationship TargetMode="External" Target="https://www.legis.iowa.gov/docs/ico/chapter/252J.2.pdf" Type="http://schemas.openxmlformats.org/officeDocument/2006/relationships/hyperlink" Id="rId11"/>
    <Relationship TargetMode="External" Target="https://www.legis.iowa.gov/docs/ico/chapter/252J.8.pdf" Type="http://schemas.openxmlformats.org/officeDocument/2006/relationships/hyperlink" Id="rId12"/>
    <Relationship TargetMode="External" Target="https://www.legis.iowa.gov/docs/ico/chapter/99G.9.pdf" Type="http://schemas.openxmlformats.org/officeDocument/2006/relationships/hyperlink" Id="rId13"/>
    <Relationship TargetMode="External" Target="https://www.legis.iowa.gov/docs/ico/chapter/99G.21.pdf" Type="http://schemas.openxmlformats.org/officeDocument/2006/relationships/hyperlink" Id="rId14"/>
    <Relationship TargetMode="External" Target="https://www.legis.iowa.gov/docs/ico/chapter/99G.24.pdf" Type="http://schemas.openxmlformats.org/officeDocument/2006/relationships/hyperlink" Id="rId15"/>
    <Relationship TargetMode="External" Target="https://www.legis.iowa.gov/docs/ico/chapter/99G.30.pdf" Type="http://schemas.openxmlformats.org/officeDocument/2006/relationships/hyperlink" Id="rId1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