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531—14.28</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sales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14.28(1)</w:t>
      </w:r>
      <w:r>
        <w:rPr>
          <w:rFonts w:ascii="Times New Roman" w:hAnsi="Times New Roman"/>
          <w:b w:val="false"/>
          <w:i w:val="false"/>
          <w:color w:val="000000"/>
          <w:sz w:val="22"/>
        </w:rPr>
        <w:t> </w:t>
      </w:r>
      <w:r>
        <w:rPr>
          <w:rFonts w:ascii="Times New Roman" w:hAnsi="Times New Roman"/>
          <w:b w:val="false"/>
          <w:i w:val="false"/>
          <w:color w:val="000000"/>
          <w:sz w:val="22"/>
        </w:rPr>
        <w:t>The lottery reserves the right to limit or terminate the sale of tickets from any MVM or at any MVM premises if such sales may compromise the operation and integrity of the lottery, reflect conduct prejudicial to the public confidence in the lottery or reflect activity of an illegal nature under local, state or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14.28(2)</w:t>
      </w:r>
      <w:r>
        <w:rPr>
          <w:rFonts w:ascii="Times New Roman" w:hAnsi="Times New Roman"/>
          <w:b w:val="false"/>
          <w:i w:val="false"/>
          <w:color w:val="000000"/>
          <w:sz w:val="22"/>
        </w:rPr>
        <w:t> </w:t>
      </w:r>
      <w:r>
        <w:rPr>
          <w:rFonts w:ascii="Times New Roman" w:hAnsi="Times New Roman"/>
          <w:b w:val="false"/>
          <w:i w:val="false"/>
          <w:color w:val="000000"/>
          <w:sz w:val="22"/>
        </w:rPr>
        <w:t>No officer, employee, agent, or subcontractor of any MVM manufacturer, or any spouse, child, sibling, or parent residing in such a person’s household, shall purchase tickets from MVMs produced by that particular manufacturer. However, tickets may be purchased by the aforementioned persons from MVMs produced by other manufacturers. No officer, employee, agent, or subcontractor of any MVM retailer or distributor, or any spouse, child, sibling, or parent residing in such a person’s household, shall purchase tickets from MVMs owned, distributed, serviced, or otherwise under the care, custody, or control of that MVM retailer or distributor. However, tickets may be purchased by the aforementioned persons from MVMs owned, distributed, serviced, or otherwise under the care, custody, or control of other MVM retailers or manufacturers.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27.pdf" Type="http://schemas.openxmlformats.org/officeDocument/2006/relationships/hyperlink" Id="rId7"/>
    <Relationship TargetMode="External" Target="https://www.legis.iowa.gov/docs/ico/chapter/99G.30.pdf" Type="http://schemas.openxmlformats.org/officeDocument/2006/relationships/hyperlink" Id="rId8"/>
    <Relationship TargetMode="External" Target="https://www.legis.iowa.gov/docs/ico/chapter/99G.3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