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531—14.27</w:t>
      </w:r>
      <w:r>
        <w:rPr>
          <w:rFonts w:ascii="Times New Roman" w:hAnsi="Times New Roman"/>
          <w:b/>
          <w:i w:val="false"/>
          <w:color w:val="000000"/>
          <w:sz w:val="22"/>
        </w:rPr>
        <w:t xml:space="preserve">(99G) </w:t>
      </w:r>
      <w:r>
        <w:rPr>
          <w:rFonts w:ascii="Times New Roman" w:hAnsi="Times New Roman"/>
          <w:b/>
          <w:i w:val="false"/>
          <w:color w:val="000000"/>
          <w:sz w:val="22"/>
        </w:rPr>
        <w:t xml:space="preserve">Payment of MVM ticket prizes. </w:t>
      </w:r>
      <w:r>
        <w:rPr>
          <w:rFonts w:ascii="Times New Roman" w:hAnsi="Times New Roman"/>
          <w:b w:val="false"/>
          <w:i w:val="false"/>
          <w:color w:val="000000"/>
          <w:sz w:val="22"/>
        </w:rPr>
        <w:t xml:space="preserve">Prizes won by MVM tickets may be paid only by an agent or employee of the MVM premises operator where the winning ticket was vended or by an agent or employee of the Iowa lottery authority, as specified in </w:t>
      </w:r>
      <w:hyperlink r:id="rId4">
        <w:r>
          <w:rPr>
            <w:rStyle w:val="Hyperlink"/>
            <w:rFonts w:ascii="Times New Roman" w:hAnsi="Times New Roman"/>
            <w:b w:val="false"/>
            <w:i w:val="false"/>
            <w:color w:val="000000"/>
            <w:sz w:val="22"/>
          </w:rPr>
          <w:t>subrule 14.21(4)</w:t>
        </w:r>
      </w:hyperlink>
      <w:r>
        <w:rPr>
          <w:rFonts w:ascii="Times New Roman" w:hAnsi="Times New Roman"/>
          <w:b w:val="false"/>
          <w:i w:val="false"/>
          <w:color w:val="000000"/>
          <w:sz w:val="22"/>
        </w:rPr>
        <w:t>. If the MVM premises operator is a nonprofit organization, members of the organization may also pay prizes if authorized by the organization. The MVM retailer shall be responsible for ensuring that prizes up to $600 are paid.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4.21.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4.pdf" Type="http://schemas.openxmlformats.org/officeDocument/2006/relationships/hyperlink" Id="rId7"/>
    <Relationship TargetMode="External" Target="https://www.legis.iowa.gov/docs/ico/chapter/99G.30.pdf" Type="http://schemas.openxmlformats.org/officeDocument/2006/relationships/hyperlink" Id="rId8"/>
    <Relationship TargetMode="External" Target="https://www.legis.iowa.gov/docs/ico/chapter/99G.3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