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531—14.26</w:t>
      </w:r>
      <w:r>
        <w:rPr>
          <w:rFonts w:ascii="Times New Roman" w:hAnsi="Times New Roman"/>
          <w:b/>
          <w:i w:val="false"/>
          <w:color w:val="000000"/>
          <w:sz w:val="22"/>
        </w:rPr>
        <w:t xml:space="preserve">(99G) </w:t>
      </w:r>
      <w:r>
        <w:rPr>
          <w:rFonts w:ascii="Times New Roman" w:hAnsi="Times New Roman"/>
          <w:b/>
          <w:i w:val="false"/>
          <w:color w:val="000000"/>
          <w:sz w:val="22"/>
        </w:rPr>
        <w:t xml:space="preserve">Inspection of lottery materials and licensed premises. </w:t>
      </w:r>
      <w:r>
        <w:rPr>
          <w:rFonts w:ascii="Times New Roman" w:hAnsi="Times New Roman"/>
          <w:b w:val="false"/>
          <w:i w:val="false"/>
          <w:color w:val="000000"/>
          <w:sz w:val="22"/>
        </w:rPr>
        <w:t>MVM retailers and MVM premises operators shall allow the lottery to inspect lottery materials, tickets, and the premises. All books and records pertaining to the MVM retailer’s and the MVM premises operator’s lottery activities shall be available to the lottery for inspection and copying during the normal business hours of the MVM retailer or the MVM premises operator and between 8 a.m.</w:t>
      </w:r>
      <w:r>
        <w:rPr>
          <w:rFonts w:ascii="Times New Roman" w:hAnsi="Times New Roman"/>
          <w:b w:val="false"/>
          <w:i w:val="false"/>
          <w:color w:val="000000"/>
          <w:sz w:val="22"/>
        </w:rPr>
        <w:t> </w:t>
      </w:r>
    </w:p>
    <w:p>
      <w:pPr>
        <w:spacing w:before="0" w:after="0"/>
        <w:ind w:left="0"/>
        <w:jc w:val="left"/>
      </w:pPr>
      <w:r>
        <w:rPr>
          <w:rFonts w:ascii="Times New Roman" w:hAnsi="Times New Roman"/>
          <w:b w:val="false"/>
          <w:i w:val="false"/>
          <w:color w:val="000000"/>
          <w:sz w:val="22"/>
        </w:rPr>
        <w:t>and 5 p.m., Monday through Friday. All books and records pertaining to the MVM retailer’s and MVM premises operator’s lottery activities are subject to seizure by the lottery without prior notice.</w:t>
      </w:r>
    </w:p>
    <w:p>
      <w:pPr>
        <w:spacing w:before="0" w:after="0"/>
        <w:ind w:left="120"/>
        <w:jc w:val="left"/>
      </w:pPr>
      <w:r>
        <w:rPr>
          <w:rFonts w:ascii="Times New Roman" w:hAnsi="Times New Roman"/>
          <w:b w:val="false"/>
          <w:i w:val="false"/>
          <w:color w:val="000000"/>
          <w:sz w:val="22"/>
        </w:rPr>
        <w:t xml:space="preserve">This rule is intended to implement Iowa Code Supplement sections </w:t>
      </w:r>
      <w:hyperlink r:id="rId4">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99G.24</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99G.27</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99G.28</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G.9.pdf" Type="http://schemas.openxmlformats.org/officeDocument/2006/relationships/hyperlink" Id="rId4"/>
    <Relationship TargetMode="External" Target="https://www.legis.iowa.gov/docs/ico/chapter/99G.24.pdf" Type="http://schemas.openxmlformats.org/officeDocument/2006/relationships/hyperlink" Id="rId5"/>
    <Relationship TargetMode="External" Target="https://www.legis.iowa.gov/docs/ico/chapter/99G.27.pdf" Type="http://schemas.openxmlformats.org/officeDocument/2006/relationships/hyperlink" Id="rId6"/>
    <Relationship TargetMode="External" Target="https://www.legis.iowa.gov/docs/ico/chapter/99G.28.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