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531—14.25</w:t>
      </w:r>
      <w:r>
        <w:rPr>
          <w:rFonts w:ascii="Times New Roman" w:hAnsi="Times New Roman"/>
          <w:b/>
          <w:i w:val="false"/>
          <w:color w:val="000000"/>
          <w:sz w:val="22"/>
        </w:rPr>
        <w:t xml:space="preserve">(99G) </w:t>
      </w:r>
      <w:r>
        <w:rPr>
          <w:rFonts w:ascii="Times New Roman" w:hAnsi="Times New Roman"/>
          <w:b/>
          <w:i w:val="false"/>
          <w:color w:val="000000"/>
          <w:sz w:val="22"/>
        </w:rPr>
        <w:t xml:space="preserve">Dishonored checks and electronic funds transfers. </w:t>
      </w:r>
      <w:r>
        <w:rPr>
          <w:rFonts w:ascii="Times New Roman" w:hAnsi="Times New Roman"/>
          <w:b w:val="false"/>
          <w:i w:val="false"/>
          <w:color w:val="000000"/>
          <w:sz w:val="22"/>
        </w:rPr>
        <w:t>Any payment made to the lottery by an applicant for a license or by a licensed MVM retailer either by a check which is dishonored or by an electronic funds transfer which is not paid by the depository shall be grounds for immediate denial of the application for a license or for the suspension or revocation of an existing license. The lottery may assess a surcharge up to the maximum allowed by applicable state law for each dishonored check or EFT. The lottery may also alter the payment terms of an MVM retailer’s license and require an MVM retailer to reimburse the lottery for costs that occur as a result of a dishonored check or EFT. The lottery may disable all MVMs associated with the licensed MVM retailer until such time as the lottery receives certified funds to compensate for the dishonored item.</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4.pdf" Type="http://schemas.openxmlformats.org/officeDocument/2006/relationships/hyperlink" Id="rId5"/>
    <Relationship TargetMode="External" Target="https://www.legis.iowa.gov/docs/ico/chapter/99G.2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