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531—14.24</w:t>
      </w:r>
      <w:r>
        <w:rPr>
          <w:rFonts w:ascii="Times New Roman" w:hAnsi="Times New Roman"/>
          <w:b/>
          <w:i w:val="false"/>
          <w:color w:val="000000"/>
          <w:sz w:val="22"/>
        </w:rPr>
        <w:t xml:space="preserve">(99G) </w:t>
      </w:r>
      <w:r>
        <w:rPr>
          <w:rFonts w:ascii="Times New Roman" w:hAnsi="Times New Roman"/>
          <w:b/>
          <w:i w:val="false"/>
          <w:color w:val="000000"/>
          <w:sz w:val="22"/>
        </w:rPr>
        <w:t xml:space="preserve">MVM retailer payment methods. </w:t>
      </w:r>
      <w:r>
        <w:rPr>
          <w:rFonts w:ascii="Times New Roman" w:hAnsi="Times New Roman"/>
          <w:b w:val="false"/>
          <w:i w:val="false"/>
          <w:color w:val="000000"/>
          <w:sz w:val="22"/>
        </w:rPr>
        <w:t>MVM retailers are required to pay for lottery tickets or shares by means of an electronic funds transfer (EFT) from the MVM retailer’s account. The lottery may allow an MVM retailer to make payments by another method if the MVM retailer can show that the electronic funds transfer system imposes a significant hardship on the MVM retailer or if the lottery determines that the MVM retailer’s payment history justifies use of an alternative payment method.</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99G.28</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99G.40</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7.pdf" Type="http://schemas.openxmlformats.org/officeDocument/2006/relationships/hyperlink" Id="rId6"/>
    <Relationship TargetMode="External" Target="https://www.legis.iowa.gov/docs/ico/chapter/99G.28.pdf" Type="http://schemas.openxmlformats.org/officeDocument/2006/relationships/hyperlink" Id="rId7"/>
    <Relationship TargetMode="External" Target="https://www.legis.iowa.gov/docs/ico/chapter/99G.40.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