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531—14.22</w:t>
      </w:r>
      <w:r>
        <w:rPr>
          <w:rFonts w:ascii="Times New Roman" w:hAnsi="Times New Roman"/>
          <w:b/>
          <w:i w:val="false"/>
          <w:color w:val="000000"/>
          <w:sz w:val="22"/>
        </w:rPr>
        <w:t xml:space="preserve">(99G) </w:t>
      </w:r>
      <w:r>
        <w:rPr>
          <w:rFonts w:ascii="Times New Roman" w:hAnsi="Times New Roman"/>
          <w:b/>
          <w:i w:val="false"/>
          <w:color w:val="000000"/>
          <w:sz w:val="22"/>
        </w:rPr>
        <w:t xml:space="preserve">Ownership of tickets and other property. </w:t>
      </w:r>
      <w:r>
        <w:rPr>
          <w:rFonts w:ascii="Times New Roman" w:hAnsi="Times New Roman"/>
          <w:b w:val="false"/>
          <w:i w:val="false"/>
          <w:color w:val="000000"/>
          <w:sz w:val="22"/>
        </w:rPr>
        <w:t>All tickets or electronic “packs” of tickets accepted by a licensed MVM retailer are the property of the MVM retailer. After confirmation of delivery, the retailer is responsible for the condition and security of the tickets and for any losses resulting from tickets that become lost, stolen, or damaged. The lottery may credit MVM retailers for lost, stolen, or damaged tickets if the MVM retailer licensee has been billed for the lost, stolen, or damaged tickets and only if the lottery determines that the best interests of the lottery will be served by issuing a credit.</w:t>
      </w:r>
    </w:p>
    <w:p>
      <w:pPr>
        <w:spacing w:before="0" w:after="0"/>
        <w:ind w:left="120"/>
        <w:jc w:val="left"/>
      </w:pPr>
      <w:r>
        <w:rPr>
          <w:rFonts w:ascii="Times New Roman" w:hAnsi="Times New Roman"/>
          <w:b w:val="false"/>
          <w:i w:val="false"/>
          <w:color w:val="000000"/>
          <w:sz w:val="22"/>
        </w:rPr>
        <w:t>Unless otherwise indicated in writing, all lottery property provided to an MVM retailer for use in selling products, as opposed to property and tickets sold to an MVM retailer, remains the property of the lottery. The retailer shall deliver lottery property to the lottery upon request.</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4.pdf" Type="http://schemas.openxmlformats.org/officeDocument/2006/relationships/hyperlink" Id="rId6"/>
    <Relationship TargetMode="External" Target="https://www.legis.iowa.gov/docs/ico/chapter/99G.2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