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531—14.20</w:t>
      </w:r>
      <w:r>
        <w:rPr>
          <w:rFonts w:ascii="Times New Roman" w:hAnsi="Times New Roman"/>
          <w:b/>
          <w:i w:val="false"/>
          <w:color w:val="000000"/>
          <w:sz w:val="22"/>
        </w:rPr>
        <w:t xml:space="preserve">(99G,252J) </w:t>
      </w:r>
      <w:r>
        <w:rPr>
          <w:rFonts w:ascii="Times New Roman" w:hAnsi="Times New Roman"/>
          <w:b/>
          <w:i w:val="false"/>
          <w:color w:val="000000"/>
          <w:sz w:val="22"/>
        </w:rPr>
        <w:t xml:space="preserve">Suspension or revocation of certification of an MVM.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14.20(1)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certification made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certification criteria established by Iowa Code Supplement chapter </w:t>
      </w:r>
      <w:hyperlink r:id="rId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Supplement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laws in connection with the production or operation of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Obtaining a certification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which is in violation of the criminal or civil public policy of this state if such pursuit creates cause to believe that the participation of such person in these activities is detrimental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Repeated failure or inability of the MVM or the associated central computer system to operate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occurrence of any event or the existence of any state of facts that would cause the MVM manufacturer to fail a criminal background check or a financial responsibility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certification, or denial of the issuance or renewal of a certification, as specified in the notice required by Iowa Code section </w:t>
      </w:r>
      <w:hyperlink r:id="rId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co/chapter/252J.8.pdf" Type="http://schemas.openxmlformats.org/officeDocument/2006/relationships/hyperlink" Id="rId6"/>
    <Relationship TargetMode="External" Target="https://www.legis.iowa.gov/docs/ico/chapter/252J.8.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24.pdf" Type="http://schemas.openxmlformats.org/officeDocument/2006/relationships/hyperlink" Id="rId10"/>
    <Relationship TargetMode="External" Target="https://www.legis.iowa.gov/docs/ico/chapter/99G.27.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