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531—14.18</w:t>
      </w:r>
      <w:r>
        <w:rPr>
          <w:rFonts w:ascii="Times New Roman" w:hAnsi="Times New Roman"/>
          <w:b/>
          <w:i w:val="false"/>
          <w:color w:val="000000"/>
          <w:sz w:val="22"/>
        </w:rPr>
        <w:t xml:space="preserve">(99G) </w:t>
      </w:r>
      <w:r>
        <w:rPr>
          <w:rFonts w:ascii="Times New Roman" w:hAnsi="Times New Roman"/>
          <w:b/>
          <w:i w:val="false"/>
          <w:color w:val="000000"/>
          <w:sz w:val="22"/>
        </w:rPr>
        <w:t xml:space="preserve">Financial responsibility of MVM retailers and MVM distributors. </w:t>
      </w:r>
      <w:r>
        <w:rPr>
          <w:rFonts w:ascii="Times New Roman" w:hAnsi="Times New Roman"/>
          <w:b w:val="false"/>
          <w:i w:val="false"/>
          <w:color w:val="000000"/>
          <w:sz w:val="22"/>
        </w:rPr>
        <w:t>The lottery shall use the following guidelines to determine financial responsibility for a person seeking an MVM retailer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14.18(1)</w:t>
      </w:r>
      <w:r>
        <w:rPr>
          <w:rFonts w:ascii="Times New Roman" w:hAnsi="Times New Roman"/>
          <w:b w:val="false"/>
          <w:i w:val="false"/>
          <w:color w:val="000000"/>
          <w:sz w:val="22"/>
        </w:rPr>
        <w:t> </w:t>
      </w:r>
      <w:r>
        <w:rPr>
          <w:rFonts w:ascii="Times New Roman" w:hAnsi="Times New Roman"/>
          <w:b w:val="false"/>
          <w:i/>
          <w:color w:val="000000"/>
          <w:sz w:val="22"/>
        </w:rPr>
        <w:t xml:space="preserve">Sole proprietorship. </w:t>
      </w:r>
      <w:r>
        <w:rPr>
          <w:rFonts w:ascii="Times New Roman" w:hAnsi="Times New Roman"/>
          <w:b w:val="false"/>
          <w:i w:val="false"/>
          <w:color w:val="000000"/>
          <w:sz w:val="22"/>
        </w:rPr>
        <w:t>The lottery will not require a bond from a sole proprietor if the account history for the applicant for the past two years discloses no more than four accounts past due and no accounts over 90 days past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14.18(2)</w:t>
      </w:r>
      <w:r>
        <w:rPr>
          <w:rFonts w:ascii="Times New Roman" w:hAnsi="Times New Roman"/>
          <w:b w:val="false"/>
          <w:i w:val="false"/>
          <w:color w:val="000000"/>
          <w:sz w:val="22"/>
        </w:rPr>
        <w:t> </w:t>
      </w:r>
      <w:r>
        <w:rPr>
          <w:rFonts w:ascii="Times New Roman" w:hAnsi="Times New Roman"/>
          <w:b w:val="false"/>
          <w:i/>
          <w:color w:val="000000"/>
          <w:sz w:val="22"/>
        </w:rPr>
        <w:t xml:space="preserve">Partnership. </w:t>
      </w:r>
      <w:r>
        <w:rPr>
          <w:rFonts w:ascii="Times New Roman" w:hAnsi="Times New Roman"/>
          <w:b w:val="false"/>
          <w:i w:val="false"/>
          <w:color w:val="000000"/>
          <w:sz w:val="22"/>
        </w:rPr>
        <w:t xml:space="preserve">If the MVM license applicant is a partnership, 50 percent of the partners must meet the credit guidelines listed in </w:t>
      </w:r>
      <w:hyperlink r:id="rId4">
        <w:r>
          <w:rPr>
            <w:rStyle w:val="Hyperlink"/>
            <w:rFonts w:ascii="Times New Roman" w:hAnsi="Times New Roman"/>
            <w:b w:val="false"/>
            <w:i w:val="false"/>
            <w:color w:val="000000"/>
            <w:sz w:val="22"/>
          </w:rPr>
          <w:t>subrule 14.18(1)</w:t>
        </w:r>
      </w:hyperlink>
      <w:r>
        <w:rPr>
          <w:rFonts w:ascii="Times New Roman" w:hAnsi="Times New Roman"/>
          <w:b w:val="false"/>
          <w:i w:val="false"/>
          <w:color w:val="000000"/>
          <w:sz w:val="22"/>
        </w:rPr>
        <w:t xml:space="preserve">. If the credit history discloses that the requirements of </w:t>
      </w:r>
      <w:hyperlink r:id="rId5">
        <w:r>
          <w:rPr>
            <w:rStyle w:val="Hyperlink"/>
            <w:rFonts w:ascii="Times New Roman" w:hAnsi="Times New Roman"/>
            <w:b w:val="false"/>
            <w:i w:val="false"/>
            <w:color w:val="000000"/>
            <w:sz w:val="22"/>
          </w:rPr>
          <w:t>subrule 14.18(1)</w:t>
        </w:r>
      </w:hyperlink>
      <w:r>
        <w:rPr>
          <w:rFonts w:ascii="Times New Roman" w:hAnsi="Times New Roman"/>
          <w:b w:val="false"/>
          <w:i w:val="false"/>
          <w:color w:val="000000"/>
          <w:sz w:val="22"/>
        </w:rPr>
        <w:t xml:space="preserve"> are satisfied, the lottery will not require a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14.18(3)</w:t>
      </w:r>
      <w:r>
        <w:rPr>
          <w:rFonts w:ascii="Times New Roman" w:hAnsi="Times New Roman"/>
          <w:b w:val="false"/>
          <w:i w:val="false"/>
          <w:color w:val="000000"/>
          <w:sz w:val="22"/>
        </w:rPr>
        <w:t> </w:t>
      </w:r>
      <w:r>
        <w:rPr>
          <w:rFonts w:ascii="Times New Roman" w:hAnsi="Times New Roman"/>
          <w:b w:val="false"/>
          <w:i/>
          <w:color w:val="000000"/>
          <w:sz w:val="22"/>
        </w:rPr>
        <w:t xml:space="preserve">Fraternal or civic associations. </w:t>
      </w:r>
      <w:r>
        <w:rPr>
          <w:rFonts w:ascii="Times New Roman" w:hAnsi="Times New Roman"/>
          <w:b w:val="false"/>
          <w:i w:val="false"/>
          <w:color w:val="000000"/>
          <w:sz w:val="22"/>
        </w:rPr>
        <w:t xml:space="preserve">If the MVM license applicant is a fraternal association, civic organization or other nonprofit entity, the applicant must meet the credit guidelines set forth in </w:t>
      </w:r>
      <w:hyperlink r:id="rId6">
        <w:r>
          <w:rPr>
            <w:rStyle w:val="Hyperlink"/>
            <w:rFonts w:ascii="Times New Roman" w:hAnsi="Times New Roman"/>
            <w:b w:val="false"/>
            <w:i w:val="false"/>
            <w:color w:val="000000"/>
            <w:sz w:val="22"/>
          </w:rPr>
          <w:t>subrule 14.18(1)</w:t>
        </w:r>
      </w:hyperlink>
      <w:r>
        <w:rPr>
          <w:rFonts w:ascii="Times New Roman" w:hAnsi="Times New Roman"/>
          <w:b w:val="false"/>
          <w:i w:val="false"/>
          <w:color w:val="000000"/>
          <w:sz w:val="22"/>
        </w:rPr>
        <w:t xml:space="preserve">. If the fraternal or civic association or other nonprofit entity has no credit history or the credit history is incomplete as determined in the sole discretion of the lottery, then the officers of the fraternal or civic association or other nonprofit entity must meet the requirements of </w:t>
      </w:r>
      <w:hyperlink r:id="rId7">
        <w:r>
          <w:rPr>
            <w:rStyle w:val="Hyperlink"/>
            <w:rFonts w:ascii="Times New Roman" w:hAnsi="Times New Roman"/>
            <w:b w:val="false"/>
            <w:i w:val="false"/>
            <w:color w:val="000000"/>
            <w:sz w:val="22"/>
          </w:rPr>
          <w:t>subrule 14.18(1)</w:t>
        </w:r>
      </w:hyperlink>
      <w:r>
        <w:rPr>
          <w:rFonts w:ascii="Times New Roman" w:hAnsi="Times New Roman"/>
          <w:b w:val="false"/>
          <w:i w:val="false"/>
          <w:color w:val="000000"/>
          <w:sz w:val="22"/>
        </w:rPr>
        <w:t xml:space="preserve">. If the credit history discloses that the requirements of </w:t>
      </w:r>
      <w:hyperlink r:id="rId8">
        <w:r>
          <w:rPr>
            <w:rStyle w:val="Hyperlink"/>
            <w:rFonts w:ascii="Times New Roman" w:hAnsi="Times New Roman"/>
            <w:b w:val="false"/>
            <w:i w:val="false"/>
            <w:color w:val="000000"/>
            <w:sz w:val="22"/>
          </w:rPr>
          <w:t>subrule 14.18(1)</w:t>
        </w:r>
      </w:hyperlink>
      <w:r>
        <w:rPr>
          <w:rFonts w:ascii="Times New Roman" w:hAnsi="Times New Roman"/>
          <w:b w:val="false"/>
          <w:i w:val="false"/>
          <w:color w:val="000000"/>
          <w:sz w:val="22"/>
        </w:rPr>
        <w:t xml:space="preserve"> are satisfied, the lottery will not require a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14.18(4)</w:t>
      </w:r>
      <w:r>
        <w:rPr>
          <w:rFonts w:ascii="Times New Roman" w:hAnsi="Times New Roman"/>
          <w:b w:val="false"/>
          <w:i w:val="false"/>
          <w:color w:val="000000"/>
          <w:sz w:val="22"/>
        </w:rPr>
        <w:t> </w:t>
      </w:r>
      <w:r>
        <w:rPr>
          <w:rFonts w:ascii="Times New Roman" w:hAnsi="Times New Roman"/>
          <w:b w:val="false"/>
          <w:i/>
          <w:color w:val="000000"/>
          <w:sz w:val="22"/>
        </w:rPr>
        <w:t xml:space="preserve">Corporations and limited liability companies in existence two years or more if a credit risk appraisal is available through a financial and credit reporting entity. </w:t>
      </w:r>
      <w:r>
        <w:rPr>
          <w:rFonts w:ascii="Times New Roman" w:hAnsi="Times New Roman"/>
          <w:b w:val="false"/>
          <w:i w:val="false"/>
          <w:color w:val="000000"/>
          <w:sz w:val="22"/>
        </w:rPr>
        <w:t>If the MVM license applicant is a corporation or a limited liability company and the corporation or the limited liability company has been in existence for more than two years from the date of the application and a credit risk appraisal is available through a financial and credit reporting entity, the MVM license applicant must meet the following financial responsibility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MVM license applicant is paying 60 percent of its suppliers on time or within terms;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applicant must have a credit risk appraisal provided by a financial and credit reporting entity that indicates the corporation or limited liability company’s financial condition is fair or better. If the corporation or the limited liability company meets the guidelines described in this rule, the lottery will not require a bond from the license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14.18(5)</w:t>
      </w:r>
      <w:r>
        <w:rPr>
          <w:rFonts w:ascii="Times New Roman" w:hAnsi="Times New Roman"/>
          <w:b w:val="false"/>
          <w:i w:val="false"/>
          <w:color w:val="000000"/>
          <w:sz w:val="22"/>
        </w:rPr>
        <w:t> </w:t>
      </w:r>
      <w:r>
        <w:rPr>
          <w:rFonts w:ascii="Times New Roman" w:hAnsi="Times New Roman"/>
          <w:b w:val="false"/>
          <w:i/>
          <w:color w:val="000000"/>
          <w:sz w:val="22"/>
        </w:rPr>
        <w:t xml:space="preserve">Corporations and limited liability companies in existence less than two years or if a credit risk appraisal is not available through a financial and credit reporting entity. </w:t>
      </w:r>
      <w:r>
        <w:rPr>
          <w:rFonts w:ascii="Times New Roman" w:hAnsi="Times New Roman"/>
          <w:b w:val="false"/>
          <w:i w:val="false"/>
          <w:color w:val="000000"/>
          <w:sz w:val="22"/>
        </w:rPr>
        <w:t xml:space="preserve">If a corporation has been in existence for less than two years from the date of the application or a credit risk appraisal is not available through a financial and credit reporting entity, the lottery will review the credit history of the corporate officers who hold 10 percent or more of the stock of the corporation. If a limited liability company has been in existence for less than two years or a credit risk appraisal is not available through a financial and credit reporting entity, the lottery will review the credit history of the members of a limited liability company who have contributed 10 percent or more to the capital of the limited liability company. Fifty percent or more of the corporate officers or members of the limited liability company must meet the credit guidelines set forth in </w:t>
      </w:r>
      <w:hyperlink r:id="rId9">
        <w:r>
          <w:rPr>
            <w:rStyle w:val="Hyperlink"/>
            <w:rFonts w:ascii="Times New Roman" w:hAnsi="Times New Roman"/>
            <w:b w:val="false"/>
            <w:i w:val="false"/>
            <w:color w:val="000000"/>
            <w:sz w:val="22"/>
          </w:rPr>
          <w:t>subrule 14.18(1)</w:t>
        </w:r>
      </w:hyperlink>
      <w:r>
        <w:rPr>
          <w:rFonts w:ascii="Times New Roman" w:hAnsi="Times New Roman"/>
          <w:b w:val="false"/>
          <w:i w:val="false"/>
          <w:color w:val="000000"/>
          <w:sz w:val="22"/>
        </w:rPr>
        <w:t xml:space="preserve">. If the corporate officers or the members of the limited liability company meet the requirements set forth in </w:t>
      </w:r>
      <w:hyperlink r:id="rId10">
        <w:r>
          <w:rPr>
            <w:rStyle w:val="Hyperlink"/>
            <w:rFonts w:ascii="Times New Roman" w:hAnsi="Times New Roman"/>
            <w:b w:val="false"/>
            <w:i w:val="false"/>
            <w:color w:val="000000"/>
            <w:sz w:val="22"/>
          </w:rPr>
          <w:t>subrule 14.18(1)</w:t>
        </w:r>
      </w:hyperlink>
      <w:r>
        <w:rPr>
          <w:rFonts w:ascii="Times New Roman" w:hAnsi="Times New Roman"/>
          <w:b w:val="false"/>
          <w:i w:val="false"/>
          <w:color w:val="000000"/>
          <w:sz w:val="22"/>
        </w:rPr>
        <w:t>, the lottery will not require the corporation or the limited liability company to obtain a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14.18(6)</w:t>
      </w:r>
      <w:r>
        <w:rPr>
          <w:rFonts w:ascii="Times New Roman" w:hAnsi="Times New Roman"/>
          <w:b w:val="false"/>
          <w:i w:val="false"/>
          <w:color w:val="000000"/>
          <w:sz w:val="22"/>
        </w:rPr>
        <w:t> </w:t>
      </w:r>
      <w:r>
        <w:rPr>
          <w:rFonts w:ascii="Times New Roman" w:hAnsi="Times New Roman"/>
          <w:b w:val="false"/>
          <w:i/>
          <w:color w:val="000000"/>
          <w:sz w:val="22"/>
        </w:rPr>
        <w:t xml:space="preserve">Bonding requirements. </w:t>
      </w:r>
      <w:r>
        <w:rPr>
          <w:rFonts w:ascii="Times New Roman" w:hAnsi="Times New Roman"/>
          <w:b w:val="false"/>
          <w:i w:val="false"/>
          <w:color w:val="000000"/>
          <w:sz w:val="22"/>
        </w:rPr>
        <w:t xml:space="preserve">With respect to any MVM license applicant whose credit history does not meet the guidelines described in </w:t>
      </w:r>
      <w:hyperlink r:id="rId11">
        <w:r>
          <w:rPr>
            <w:rStyle w:val="Hyperlink"/>
            <w:rFonts w:ascii="Times New Roman" w:hAnsi="Times New Roman"/>
            <w:b w:val="false"/>
            <w:i w:val="false"/>
            <w:color w:val="000000"/>
            <w:sz w:val="22"/>
          </w:rPr>
          <w:t>subrules 14.18(1)</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14.18(5)</w:t>
        </w:r>
      </w:hyperlink>
      <w:r>
        <w:rPr>
          <w:rFonts w:ascii="Times New Roman" w:hAnsi="Times New Roman"/>
          <w:b w:val="false"/>
          <w:i w:val="false"/>
          <w:color w:val="000000"/>
          <w:sz w:val="22"/>
        </w:rPr>
        <w:t>, the applicant will be required to obtain a bond from a surety company authorized to do business in Iowa or offer a cash bond in the amount of $250 per MVM to be operated by the MVM license applicant; provided, however, that the total amount of such bond shall not exceed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14.18(7)</w:t>
      </w:r>
      <w:r>
        <w:rPr>
          <w:rFonts w:ascii="Times New Roman" w:hAnsi="Times New Roman"/>
          <w:b w:val="false"/>
          <w:i w:val="false"/>
          <w:color w:val="000000"/>
          <w:sz w:val="22"/>
        </w:rPr>
        <w:t> </w:t>
      </w:r>
      <w:r>
        <w:rPr>
          <w:rFonts w:ascii="Times New Roman" w:hAnsi="Times New Roman"/>
          <w:b w:val="false"/>
          <w:i/>
          <w:color w:val="000000"/>
          <w:sz w:val="22"/>
        </w:rPr>
        <w:t xml:space="preserve">Holding period for bond. </w:t>
      </w:r>
      <w:r>
        <w:rPr>
          <w:rFonts w:ascii="Times New Roman" w:hAnsi="Times New Roman"/>
          <w:b w:val="false"/>
          <w:i w:val="false"/>
          <w:color w:val="000000"/>
          <w:sz w:val="22"/>
        </w:rPr>
        <w:t>The lottery will hold the bond provided by the license applicant for a minimum time period of one year. Thereafter, the lottery will review the credit history of the licensed retailer. If the retailer’s account history shows no delinquent payments, the lottery will release the bond.</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13">
        <w:r>
          <w:rPr>
            <w:rStyle w:val="Hyperlink"/>
            <w:rFonts w:ascii="Times New Roman" w:hAnsi="Times New Roman"/>
            <w:b w:val="false"/>
            <w:i w:val="false"/>
            <w:color w:val="000000"/>
            <w:sz w:val="22"/>
          </w:rPr>
          <w:t>99G.7(1)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99G.26</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14.18.pdf" Type="http://schemas.openxmlformats.org/officeDocument/2006/relationships/hyperlink" Id="rId4"/>
    <Relationship TargetMode="External" Target="https://www.legis.iowa.gov/docs/iac/rule/531.14.18.pdf" Type="http://schemas.openxmlformats.org/officeDocument/2006/relationships/hyperlink" Id="rId5"/>
    <Relationship TargetMode="External" Target="https://www.legis.iowa.gov/docs/iac/rule/531.14.18.pdf" Type="http://schemas.openxmlformats.org/officeDocument/2006/relationships/hyperlink" Id="rId6"/>
    <Relationship TargetMode="External" Target="https://www.legis.iowa.gov/docs/iac/rule/531.14.18.pdf" Type="http://schemas.openxmlformats.org/officeDocument/2006/relationships/hyperlink" Id="rId7"/>
    <Relationship TargetMode="External" Target="https://www.legis.iowa.gov/docs/iac/rule/531.14.18.pdf" Type="http://schemas.openxmlformats.org/officeDocument/2006/relationships/hyperlink" Id="rId8"/>
    <Relationship TargetMode="External" Target="https://www.legis.iowa.gov/docs/iac/rule/531.14.18.pdf" Type="http://schemas.openxmlformats.org/officeDocument/2006/relationships/hyperlink" Id="rId9"/>
    <Relationship TargetMode="External" Target="https://www.legis.iowa.gov/docs/iac/rule/531.14.18.pdf" Type="http://schemas.openxmlformats.org/officeDocument/2006/relationships/hyperlink" Id="rId10"/>
    <Relationship TargetMode="External" Target="https://www.legis.iowa.gov/docs/iac/rule/531.14.18.pdf" Type="http://schemas.openxmlformats.org/officeDocument/2006/relationships/hyperlink" Id="rId11"/>
    <Relationship TargetMode="External" Target="https://www.legis.iowa.gov/docs/iac/rule/531.14.18.pdf" Type="http://schemas.openxmlformats.org/officeDocument/2006/relationships/hyperlink" Id="rId12"/>
    <Relationship TargetMode="External" Target="https://www.legis.iowa.gov/docs/ico/chapter/99G.7.pdf" Type="http://schemas.openxmlformats.org/officeDocument/2006/relationships/hyperlink" Id="rId13"/>
    <Relationship TargetMode="External" Target="https://www.legis.iowa.gov/docs/ico/chapter/99G.26.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